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ED8" w:rsidRDefault="003E7ED8" w:rsidP="003E7ED8">
      <w:pPr>
        <w:jc w:val="center"/>
        <w:rPr>
          <w:b/>
          <w:u w:val="single"/>
        </w:rPr>
      </w:pPr>
      <w:r>
        <w:rPr>
          <w:b/>
          <w:u w:val="single"/>
        </w:rPr>
        <w:t>M E M O R A N D U M</w:t>
      </w:r>
    </w:p>
    <w:p w:rsidR="003E7ED8" w:rsidRDefault="003E7ED8" w:rsidP="003E7ED8">
      <w:pPr>
        <w:jc w:val="center"/>
        <w:rPr>
          <w:b/>
          <w:u w:val="single"/>
        </w:rPr>
      </w:pPr>
    </w:p>
    <w:p w:rsidR="003E7ED8" w:rsidRDefault="003E7ED8" w:rsidP="003E7ED8">
      <w:r>
        <w:t>TO:</w:t>
      </w:r>
      <w:r>
        <w:tab/>
      </w:r>
      <w:r>
        <w:tab/>
        <w:t>Water Quality Standards Workgroup</w:t>
      </w:r>
    </w:p>
    <w:p w:rsidR="003E7ED8" w:rsidRDefault="003E7ED8" w:rsidP="003E7ED8"/>
    <w:p w:rsidR="003E7ED8" w:rsidRDefault="003E7ED8" w:rsidP="003E7ED8">
      <w:r>
        <w:t>FROM:</w:t>
      </w:r>
      <w:r>
        <w:tab/>
        <w:t>Chris Bittner</w:t>
      </w:r>
    </w:p>
    <w:p w:rsidR="003E7ED8" w:rsidRDefault="003E7ED8" w:rsidP="003E7ED8"/>
    <w:p w:rsidR="003E7ED8" w:rsidRDefault="003E7ED8" w:rsidP="003E7ED8">
      <w:r>
        <w:t>DATE:</w:t>
      </w:r>
      <w:r>
        <w:tab/>
      </w:r>
      <w:r>
        <w:tab/>
        <w:t>March 15, 2022</w:t>
      </w:r>
    </w:p>
    <w:p w:rsidR="003E7ED8" w:rsidRDefault="003E7ED8" w:rsidP="003E7ED8"/>
    <w:p w:rsidR="003E7ED8" w:rsidRDefault="003E7ED8" w:rsidP="003E7ED8">
      <w:pPr>
        <w:ind w:left="1440" w:hanging="1440"/>
      </w:pPr>
      <w:r>
        <w:t>SUBJECT:</w:t>
      </w:r>
      <w:r>
        <w:tab/>
        <w:t>Proposed extension of existing site-specific ammonia water quality criteria for Jordan River to lower Jordan River and State Canal</w:t>
      </w:r>
    </w:p>
    <w:p w:rsidR="003E7ED8" w:rsidRDefault="003E7ED8" w:rsidP="003E7ED8"/>
    <w:p w:rsidR="003E7ED8" w:rsidRDefault="003E7ED8" w:rsidP="003E7ED8"/>
    <w:p w:rsidR="003E7ED8" w:rsidRDefault="003E7ED8" w:rsidP="003E7ED8">
      <w:pPr>
        <w:rPr>
          <w:b/>
        </w:rPr>
      </w:pPr>
      <w:r>
        <w:rPr>
          <w:b/>
        </w:rPr>
        <w:t>Introduction and site investigations.</w:t>
      </w:r>
      <w:bookmarkStart w:id="0" w:name="_GoBack"/>
      <w:bookmarkEnd w:id="0"/>
    </w:p>
    <w:p w:rsidR="003E7ED8" w:rsidRDefault="003E7ED8" w:rsidP="003E7ED8">
      <w:pPr>
        <w:rPr>
          <w:b/>
        </w:rPr>
      </w:pPr>
    </w:p>
    <w:p w:rsidR="003E7ED8" w:rsidRDefault="003E7ED8" w:rsidP="003E7ED8">
      <w:r>
        <w:t xml:space="preserve">In 2019, the Utah Water Quality Board adopted site-specific ammonia water quality criteria for the protection of aquatic life for the Jordan River, Salt Lake County, from 900 South to the confluence with Mill Creek. The basis for the criteria was that unionid mussels were not aquatic life residents. A critical first step when evaluating if unionid mussels are residents is establishing that they are not currently present. </w:t>
      </w:r>
    </w:p>
    <w:p w:rsidR="003E7ED8" w:rsidRDefault="003E7ED8" w:rsidP="003E7ED8"/>
    <w:p w:rsidR="003E7ED8" w:rsidRDefault="003E7ED8" w:rsidP="003E7ED8">
      <w:r>
        <w:t>In 2019, the Wasatch Front Water Quality Council conducted additional unionid mussel surveys on the Jordan River downstream of 700 North Street and in the State Canal. In 2021, surveys were conducted on the Jordan River between 700 North Street and 900 South Street. Combined with the surveys conducted in 2017 on the Jordan River between Mill Creek and Little Cottonwood Creek, the Jordan River has been surveyed from Little Cottonwood Creek to Farmington Bay, Great Salt Lake. Figure 1 provides an overview of the study area. The surveys are documented in the following reports:</w:t>
      </w:r>
    </w:p>
    <w:p w:rsidR="003E7ED8" w:rsidRDefault="003E7ED8" w:rsidP="003E7ED8"/>
    <w:p w:rsidR="003E7ED8" w:rsidRDefault="003E7ED8" w:rsidP="003E7ED8">
      <w:pPr>
        <w:numPr>
          <w:ilvl w:val="0"/>
          <w:numId w:val="16"/>
        </w:numPr>
        <w:rPr>
          <w:i/>
        </w:rPr>
      </w:pPr>
      <w:bookmarkStart w:id="1" w:name="_heading=h.30j0zll" w:colFirst="0" w:colLast="0"/>
      <w:bookmarkEnd w:id="1"/>
      <w:r>
        <w:rPr>
          <w:i/>
        </w:rPr>
        <w:t xml:space="preserve">Native </w:t>
      </w:r>
      <w:proofErr w:type="spellStart"/>
      <w:r>
        <w:rPr>
          <w:i/>
        </w:rPr>
        <w:t>Unionoida</w:t>
      </w:r>
      <w:proofErr w:type="spellEnd"/>
      <w:r>
        <w:rPr>
          <w:i/>
        </w:rPr>
        <w:t xml:space="preserve"> Surveys, Distribution, and Metapopulation Dynamics in the</w:t>
      </w:r>
    </w:p>
    <w:p w:rsidR="003E7ED8" w:rsidRDefault="003E7ED8" w:rsidP="003E7ED8">
      <w:pPr>
        <w:ind w:left="720"/>
      </w:pPr>
      <w:r>
        <w:rPr>
          <w:i/>
        </w:rPr>
        <w:t>Jordan River-Utah Lake Drainage, UT</w:t>
      </w:r>
      <w:r>
        <w:t xml:space="preserve">, </w:t>
      </w:r>
      <w:proofErr w:type="spellStart"/>
      <w:r>
        <w:t>Oreohelix</w:t>
      </w:r>
      <w:proofErr w:type="spellEnd"/>
      <w:r>
        <w:t xml:space="preserve"> Ecological, May 26, 2017</w:t>
      </w:r>
    </w:p>
    <w:p w:rsidR="003E7ED8" w:rsidRDefault="003E7ED8" w:rsidP="003E7ED8">
      <w:pPr>
        <w:numPr>
          <w:ilvl w:val="0"/>
          <w:numId w:val="16"/>
        </w:numPr>
      </w:pPr>
      <w:r>
        <w:rPr>
          <w:i/>
        </w:rPr>
        <w:t>Lower Jordan River Mollusk Survey as it Relates to South Davis Sewer District South Plant Effluent</w:t>
      </w:r>
      <w:r>
        <w:t xml:space="preserve">, January 2, 2020, </w:t>
      </w:r>
      <w:proofErr w:type="spellStart"/>
      <w:r>
        <w:t>Oreohelix</w:t>
      </w:r>
      <w:proofErr w:type="spellEnd"/>
      <w:r>
        <w:t xml:space="preserve"> Ecological (DWQ-2020-007383);</w:t>
      </w:r>
    </w:p>
    <w:p w:rsidR="003E7ED8" w:rsidRDefault="003E7ED8" w:rsidP="003E7ED8">
      <w:pPr>
        <w:numPr>
          <w:ilvl w:val="0"/>
          <w:numId w:val="16"/>
        </w:numPr>
      </w:pPr>
      <w:r>
        <w:rPr>
          <w:i/>
        </w:rPr>
        <w:t>State Canal Mollusk Survey as it relates to South Davis Sewer District South Plant Effluent</w:t>
      </w:r>
      <w:r>
        <w:t xml:space="preserve">, January 3, 2020, </w:t>
      </w:r>
      <w:proofErr w:type="spellStart"/>
      <w:r>
        <w:t>Oreohelix</w:t>
      </w:r>
      <w:proofErr w:type="spellEnd"/>
      <w:r>
        <w:t xml:space="preserve"> Ecological (DWQ-2020-012604);</w:t>
      </w:r>
    </w:p>
    <w:p w:rsidR="003E7ED8" w:rsidRDefault="003E7ED8" w:rsidP="003E7ED8">
      <w:pPr>
        <w:numPr>
          <w:ilvl w:val="0"/>
          <w:numId w:val="16"/>
        </w:numPr>
      </w:pPr>
      <w:r>
        <w:rPr>
          <w:i/>
        </w:rPr>
        <w:t>Jordan River Native Mussel Surveys</w:t>
      </w:r>
      <w:r>
        <w:t xml:space="preserve">, April 9, 2021, </w:t>
      </w:r>
      <w:proofErr w:type="spellStart"/>
      <w:r>
        <w:t>Oreohelix</w:t>
      </w:r>
      <w:proofErr w:type="spellEnd"/>
      <w:r>
        <w:t xml:space="preserve"> Ecological (DWQ-2021-010122).</w:t>
      </w:r>
    </w:p>
    <w:p w:rsidR="003E7ED8" w:rsidRDefault="003E7ED8" w:rsidP="003E7ED8">
      <w:r>
        <w:t xml:space="preserve"> </w:t>
      </w:r>
    </w:p>
    <w:p w:rsidR="003E7ED8" w:rsidRDefault="003E7ED8" w:rsidP="003E7ED8">
      <w:r>
        <w:lastRenderedPageBreak/>
        <w:t xml:space="preserve">In summary, the surveys were conducted by excavating the substrate with a shovel in wadable sections and hand-operated dredges in deeper water. The substrate samples were then sieved and examined for the presence of mollusks. The specific locations surveyed are shown on Figures 2 through 5. Aside from a few </w:t>
      </w:r>
      <w:proofErr w:type="spellStart"/>
      <w:r>
        <w:rPr>
          <w:i/>
        </w:rPr>
        <w:t>Anodonta</w:t>
      </w:r>
      <w:proofErr w:type="spellEnd"/>
      <w:r>
        <w:t xml:space="preserve"> shell fragments, no evidence of unionid mussels was observed. </w:t>
      </w:r>
    </w:p>
    <w:p w:rsidR="003E7ED8" w:rsidRDefault="003E7ED8" w:rsidP="003E7ED8"/>
    <w:p w:rsidR="003E7ED8" w:rsidRDefault="003E7ED8" w:rsidP="003E7ED8">
      <w:r>
        <w:t xml:space="preserve">The affected assessment units and their water quality support status can be mapped at </w:t>
      </w:r>
      <w:hyperlink r:id="rId7">
        <w:r>
          <w:rPr>
            <w:color w:val="0000FF"/>
            <w:u w:val="single"/>
          </w:rPr>
          <w:t>https://deq.utah.gov/water-quality/2022-integrated-report</w:t>
        </w:r>
      </w:hyperlink>
      <w:r>
        <w:t>. The lower Jordan River portion includes Jordan River-1, Jordan River-2, and a small segment of Jordan River-3 from North Temple to 900 South.  The segment between Mill Creek and Little Cottonwood Creek is part of Jordan River-4 Assessment Unit. Water quality impairments include:</w:t>
      </w:r>
    </w:p>
    <w:p w:rsidR="003E7ED8" w:rsidRDefault="003E7ED8" w:rsidP="003E7ED8">
      <w:pPr>
        <w:numPr>
          <w:ilvl w:val="0"/>
          <w:numId w:val="18"/>
        </w:numPr>
      </w:pPr>
      <w:r>
        <w:t xml:space="preserve">Jordan River-1, dissolved oxygen and benthic macroinvertebrates; </w:t>
      </w:r>
    </w:p>
    <w:p w:rsidR="003E7ED8" w:rsidRDefault="003E7ED8" w:rsidP="003E7ED8">
      <w:pPr>
        <w:numPr>
          <w:ilvl w:val="0"/>
          <w:numId w:val="18"/>
        </w:numPr>
      </w:pPr>
      <w:r>
        <w:t>Jordan River-2, dissolved oxygen, benthic macroinvertebrates, and E. coli;</w:t>
      </w:r>
    </w:p>
    <w:p w:rsidR="003E7ED8" w:rsidRDefault="003E7ED8" w:rsidP="003E7ED8">
      <w:pPr>
        <w:numPr>
          <w:ilvl w:val="0"/>
          <w:numId w:val="18"/>
        </w:numPr>
      </w:pPr>
      <w:r>
        <w:t xml:space="preserve">Jordan River-3, dissolved oxygen, benthic macroinvertebrates, total phosphorus, and E. coli; </w:t>
      </w:r>
    </w:p>
    <w:p w:rsidR="003E7ED8" w:rsidRDefault="003E7ED8" w:rsidP="003E7ED8">
      <w:pPr>
        <w:numPr>
          <w:ilvl w:val="0"/>
          <w:numId w:val="18"/>
        </w:numPr>
      </w:pPr>
      <w:r>
        <w:t>Jordan River-4, benthic macroinvertebrates, E. coli, and total dissolved solids.</w:t>
      </w:r>
    </w:p>
    <w:p w:rsidR="003E7ED8" w:rsidRDefault="003E7ED8" w:rsidP="003E7ED8">
      <w:pPr>
        <w:numPr>
          <w:ilvl w:val="0"/>
          <w:numId w:val="18"/>
        </w:numPr>
      </w:pPr>
      <w:r>
        <w:t>State Canal, ammonia, dissolved oxygen, and total dissolved solids.</w:t>
      </w:r>
    </w:p>
    <w:p w:rsidR="003E7ED8" w:rsidRDefault="003E7ED8" w:rsidP="003E7ED8">
      <w:r>
        <w:t xml:space="preserve">Note that the lower Jordan River and State Canal have site-specific criteria for dissolved oxygen in Table 2.14.5, </w:t>
      </w:r>
      <w:hyperlink r:id="rId8">
        <w:r>
          <w:rPr>
            <w:color w:val="0000FF"/>
            <w:u w:val="single"/>
          </w:rPr>
          <w:t>R317-2</w:t>
        </w:r>
      </w:hyperlink>
      <w:r>
        <w:t xml:space="preserve">-14 but still remain impaired. </w:t>
      </w:r>
    </w:p>
    <w:p w:rsidR="003E7ED8" w:rsidRDefault="003E7ED8" w:rsidP="003E7ED8"/>
    <w:p w:rsidR="003E7ED8" w:rsidRDefault="003E7ED8" w:rsidP="003E7ED8">
      <w:pPr>
        <w:rPr>
          <w:b/>
        </w:rPr>
      </w:pPr>
      <w:r>
        <w:rPr>
          <w:b/>
        </w:rPr>
        <w:t xml:space="preserve">Are unionid </w:t>
      </w:r>
      <w:proofErr w:type="gramStart"/>
      <w:r>
        <w:rPr>
          <w:b/>
        </w:rPr>
        <w:t>mussels</w:t>
      </w:r>
      <w:proofErr w:type="gramEnd"/>
      <w:r>
        <w:rPr>
          <w:b/>
        </w:rPr>
        <w:t xml:space="preserve"> residents?</w:t>
      </w:r>
    </w:p>
    <w:p w:rsidR="003E7ED8" w:rsidRDefault="003E7ED8" w:rsidP="003E7ED8">
      <w:pPr>
        <w:rPr>
          <w:b/>
        </w:rPr>
      </w:pPr>
    </w:p>
    <w:p w:rsidR="003E7ED8" w:rsidRDefault="003E7ED8" w:rsidP="003E7ED8">
      <w:r>
        <w:t>Numeric criteria protect the designated uses. The criteria are derived to protect the aquatic life residents. In 2013, the U.S. Environmental Protection Agency (EPA) updated the recommendations for ammonia criteria. These criteria are less stringent if unionid mussels are not residents. Per the EPA, residents:</w:t>
      </w:r>
    </w:p>
    <w:p w:rsidR="003E7ED8" w:rsidRDefault="003E7ED8" w:rsidP="003E7ED8"/>
    <w:p w:rsidR="003E7ED8" w:rsidRDefault="003E7ED8" w:rsidP="003E7ED8">
      <w:pPr>
        <w:numPr>
          <w:ilvl w:val="0"/>
          <w:numId w:val="17"/>
        </w:numPr>
      </w:pPr>
      <w:r>
        <w:t xml:space="preserve">Are usually present at the site. </w:t>
      </w:r>
    </w:p>
    <w:p w:rsidR="003E7ED8" w:rsidRDefault="003E7ED8" w:rsidP="003E7ED8">
      <w:pPr>
        <w:numPr>
          <w:ilvl w:val="0"/>
          <w:numId w:val="17"/>
        </w:numPr>
      </w:pPr>
      <w:r>
        <w:t xml:space="preserve">Are present at the site only seasonally due to migration; </w:t>
      </w:r>
    </w:p>
    <w:p w:rsidR="003E7ED8" w:rsidRDefault="003E7ED8" w:rsidP="003E7ED8">
      <w:pPr>
        <w:numPr>
          <w:ilvl w:val="0"/>
          <w:numId w:val="17"/>
        </w:numPr>
      </w:pPr>
      <w:r>
        <w:t>Are present at the site intermittently because they periodically return to or extend their ranges into the site;</w:t>
      </w:r>
    </w:p>
    <w:p w:rsidR="003E7ED8" w:rsidRDefault="003E7ED8" w:rsidP="003E7ED8">
      <w:pPr>
        <w:numPr>
          <w:ilvl w:val="0"/>
          <w:numId w:val="17"/>
        </w:numPr>
      </w:pPr>
      <w:r>
        <w:t>Were present at the site in the past, are not currently present at the site due to degraded conditions, but are expected to return to the site when conditions improve;</w:t>
      </w:r>
    </w:p>
    <w:p w:rsidR="003E7ED8" w:rsidRDefault="003E7ED8" w:rsidP="003E7ED8">
      <w:pPr>
        <w:numPr>
          <w:ilvl w:val="0"/>
          <w:numId w:val="17"/>
        </w:numPr>
      </w:pPr>
      <w:r>
        <w:t>Are present in nearby bodies of water, are not currently present at the site due to degraded conditions, but are expected to be present at the site when conditions improve.</w:t>
      </w:r>
    </w:p>
    <w:p w:rsidR="003E7ED8" w:rsidRDefault="003E7ED8" w:rsidP="003E7ED8">
      <w:pPr>
        <w:ind w:left="720"/>
      </w:pPr>
    </w:p>
    <w:p w:rsidR="003E7ED8" w:rsidRDefault="003E7ED8" w:rsidP="003E7ED8">
      <w:r>
        <w:t>Residents don’t include organisms that were once present at the site, but cannot exist at the site now due to permanent (physical) alterations of the habitat or other conditions that are not likely to change within reasonable planning horizons.</w:t>
      </w:r>
    </w:p>
    <w:p w:rsidR="003E7ED8" w:rsidRDefault="003E7ED8" w:rsidP="003E7ED8"/>
    <w:p w:rsidR="003E7ED8" w:rsidRDefault="003E7ED8" w:rsidP="003E7ED8">
      <w:r>
        <w:t xml:space="preserve">These resident definitions with regards to unionid mussels were evaluated in detail to support the 2019 site-specific criteria (see </w:t>
      </w:r>
      <w:hyperlink r:id="rId9">
        <w:r>
          <w:rPr>
            <w:color w:val="0000FF"/>
            <w:u w:val="single"/>
          </w:rPr>
          <w:t>Site-specific criteria based on recalculated aquatic life water quality criteria for ammonia for a segment of Mill Creek and the Jordan River, Salt Lake County, Utah</w:t>
        </w:r>
      </w:hyperlink>
      <w:r>
        <w:t xml:space="preserve"> (DWQ-2018-013091)). The conclusions from this evaluation were:</w:t>
      </w:r>
    </w:p>
    <w:p w:rsidR="003E7ED8" w:rsidRDefault="003E7ED8" w:rsidP="003E7ED8"/>
    <w:p w:rsidR="003E7ED8" w:rsidRDefault="003E7ED8" w:rsidP="003E7ED8">
      <w:pPr>
        <w:numPr>
          <w:ilvl w:val="0"/>
          <w:numId w:val="19"/>
        </w:numPr>
      </w:pPr>
      <w:r>
        <w:t>Unionid mussels historically were present upstream in the Jordan and Utah Lake, tributaries to Jordan River and were also likely present at the Site.</w:t>
      </w:r>
    </w:p>
    <w:p w:rsidR="003E7ED8" w:rsidRDefault="003E7ED8" w:rsidP="003E7ED8">
      <w:pPr>
        <w:ind w:left="720"/>
      </w:pPr>
    </w:p>
    <w:p w:rsidR="003E7ED8" w:rsidRDefault="003E7ED8" w:rsidP="003E7ED8">
      <w:pPr>
        <w:numPr>
          <w:ilvl w:val="0"/>
          <w:numId w:val="19"/>
        </w:numPr>
      </w:pPr>
      <w:r>
        <w:t>Unionid mussels are not currently present at the Site or in the nearby waters that were surveyed because of degraded conditions. Not all nearby waters were surveyed.</w:t>
      </w:r>
    </w:p>
    <w:p w:rsidR="003E7ED8" w:rsidRDefault="003E7ED8" w:rsidP="003E7ED8">
      <w:pPr>
        <w:ind w:left="720"/>
      </w:pPr>
    </w:p>
    <w:p w:rsidR="003E7ED8" w:rsidRDefault="003E7ED8" w:rsidP="003E7ED8">
      <w:pPr>
        <w:numPr>
          <w:ilvl w:val="0"/>
          <w:numId w:val="19"/>
        </w:numPr>
      </w:pPr>
      <w:r>
        <w:t>Non-</w:t>
      </w:r>
      <w:proofErr w:type="spellStart"/>
      <w:r>
        <w:t>pulmonate</w:t>
      </w:r>
      <w:proofErr w:type="spellEnd"/>
      <w:r>
        <w:t xml:space="preserve"> snails are present, or were recently present at the Site and are residents.</w:t>
      </w:r>
    </w:p>
    <w:p w:rsidR="003E7ED8" w:rsidRDefault="003E7ED8" w:rsidP="003E7ED8">
      <w:pPr>
        <w:ind w:left="720"/>
      </w:pPr>
    </w:p>
    <w:p w:rsidR="003E7ED8" w:rsidRDefault="003E7ED8" w:rsidP="003E7ED8">
      <w:pPr>
        <w:numPr>
          <w:ilvl w:val="0"/>
          <w:numId w:val="19"/>
        </w:numPr>
      </w:pPr>
      <w:r>
        <w:t>The Jordan River is physically, biologically and chemically degraded at the Site. Efforts to restore the Jordan River are ongoing but are unlikely to be sufficient to support the potential reintroduction of unionid mussels within the reasonable planning horizon of the next 30 years, if ever.</w:t>
      </w:r>
    </w:p>
    <w:p w:rsidR="003E7ED8" w:rsidRDefault="003E7ED8" w:rsidP="003E7ED8"/>
    <w:p w:rsidR="003E7ED8" w:rsidRDefault="003E7ED8" w:rsidP="003E7ED8">
      <w:r>
        <w:t>These same conclusions are also applicable to:</w:t>
      </w:r>
    </w:p>
    <w:p w:rsidR="003E7ED8" w:rsidRDefault="003E7ED8" w:rsidP="003E7ED8">
      <w:pPr>
        <w:numPr>
          <w:ilvl w:val="0"/>
          <w:numId w:val="15"/>
        </w:numPr>
      </w:pPr>
      <w:r>
        <w:t>The Jordan River, from Farmington Bay to 900 South;</w:t>
      </w:r>
    </w:p>
    <w:p w:rsidR="003E7ED8" w:rsidRDefault="003E7ED8" w:rsidP="003E7ED8">
      <w:pPr>
        <w:numPr>
          <w:ilvl w:val="0"/>
          <w:numId w:val="15"/>
        </w:numPr>
      </w:pPr>
      <w:r>
        <w:t>The State Canal, from Farmington Bay to the confluence with the Jordan River, and;</w:t>
      </w:r>
    </w:p>
    <w:p w:rsidR="003E7ED8" w:rsidRDefault="003E7ED8" w:rsidP="003E7ED8">
      <w:pPr>
        <w:numPr>
          <w:ilvl w:val="0"/>
          <w:numId w:val="15"/>
        </w:numPr>
      </w:pPr>
      <w:r>
        <w:t xml:space="preserve">The Jordan River, from the confluence of Mill Creek to Little Cottonwood Creek. </w:t>
      </w:r>
    </w:p>
    <w:p w:rsidR="003E7ED8" w:rsidRDefault="003E7ED8" w:rsidP="003E7ED8"/>
    <w:p w:rsidR="003E7ED8" w:rsidRDefault="003E7ED8" w:rsidP="003E7ED8">
      <w:r>
        <w:t xml:space="preserve">DWQ recommends that the existing site-specific criteria in Footnote 9, Table 2.14.2 in </w:t>
      </w:r>
      <w:hyperlink r:id="rId10">
        <w:r>
          <w:rPr>
            <w:color w:val="0000FF"/>
            <w:u w:val="single"/>
          </w:rPr>
          <w:t>R317-2-14</w:t>
        </w:r>
      </w:hyperlink>
      <w:r>
        <w:t xml:space="preserve"> be modified to include the lower Jordan River, the Jordan River from Mill Creek upstream to the confluence with Little Cottonwood Creek, and the State Canal. The proposed revised rule follows with the deletions shown in red strikeout font and the proposed additions shown in green underlined font. Note that a typographical error in the current rule (09.405 to 0.9405) is also corrected.  </w:t>
      </w:r>
    </w:p>
    <w:p w:rsidR="003E7ED8" w:rsidRDefault="003E7ED8" w:rsidP="003E7ED8">
      <w:pPr>
        <w:rPr>
          <w:b/>
        </w:rPr>
      </w:pPr>
    </w:p>
    <w:p w:rsidR="003E7ED8" w:rsidRDefault="003E7ED8" w:rsidP="003E7ED8">
      <w:pPr>
        <w:rPr>
          <w:b/>
        </w:rPr>
      </w:pPr>
      <w:r>
        <w:rPr>
          <w:b/>
        </w:rPr>
        <w:t>Proposed rule language</w:t>
      </w:r>
    </w:p>
    <w:p w:rsidR="003E7ED8" w:rsidRDefault="003E7ED8" w:rsidP="003E7ED8">
      <w:pPr>
        <w:rPr>
          <w:b/>
        </w:rPr>
      </w:pPr>
      <w:r>
        <w:rPr>
          <w:b/>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(9</w:t>
      </w:r>
      <w:proofErr w:type="gramStart"/>
      <w:r>
        <w:rPr>
          <w:rFonts w:ascii="Courier" w:eastAsia="Courier" w:hAnsi="Courier" w:cs="Courier"/>
        </w:rPr>
        <w:t>a)  The</w:t>
      </w:r>
      <w:proofErr w:type="gramEnd"/>
      <w:r>
        <w:rPr>
          <w:rFonts w:ascii="Courier" w:eastAsia="Courier" w:hAnsi="Courier" w:cs="Courier"/>
        </w:rPr>
        <w:t xml:space="preserve"> thirty-day average concentration of total ammonia</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nitrogen (in mg/l as N) does not exceed, more than once every</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three years on the average, the chronic criterion calculated</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using the following equations.</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Fish Early Life Stages are Present: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(Chronic) = ((0.0577/(1+10</w:t>
      </w:r>
      <w:r>
        <w:rPr>
          <w:rFonts w:ascii="Courier" w:eastAsia="Courier" w:hAnsi="Courier" w:cs="Courier"/>
          <w:vertAlign w:val="superscript"/>
        </w:rPr>
        <w:t>7.688-pH</w:t>
      </w:r>
      <w:r>
        <w:rPr>
          <w:rFonts w:ascii="Courier" w:eastAsia="Courier" w:hAnsi="Courier" w:cs="Courier"/>
        </w:rPr>
        <w:t>)) + (2.487</w:t>
      </w:r>
      <w:proofErr w:type="gramStart"/>
      <w:r>
        <w:rPr>
          <w:rFonts w:ascii="Courier" w:eastAsia="Courier" w:hAnsi="Courier" w:cs="Courier"/>
        </w:rPr>
        <w:t>/(</w:t>
      </w:r>
      <w:proofErr w:type="gramEnd"/>
      <w:r>
        <w:rPr>
          <w:rFonts w:ascii="Courier" w:eastAsia="Courier" w:hAnsi="Courier" w:cs="Courier"/>
        </w:rPr>
        <w:t>1+</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10</w:t>
      </w:r>
      <w:r>
        <w:rPr>
          <w:rFonts w:ascii="Courier" w:eastAsia="Courier" w:hAnsi="Courier" w:cs="Courier"/>
          <w:vertAlign w:val="superscript"/>
        </w:rPr>
        <w:t>pH-7.688</w:t>
      </w:r>
      <w:r>
        <w:rPr>
          <w:rFonts w:ascii="Courier" w:eastAsia="Courier" w:hAnsi="Courier" w:cs="Courier"/>
        </w:rPr>
        <w:t>))) * MIN (2.85, 1.45*10</w:t>
      </w:r>
      <w:r>
        <w:rPr>
          <w:rFonts w:ascii="Courier" w:eastAsia="Courier" w:hAnsi="Courier" w:cs="Courier"/>
          <w:vertAlign w:val="superscript"/>
        </w:rPr>
        <w:t>0.028*(25-T)</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Fish Early Life Stages are Absent: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mg/1 as N (Chronic) = ((0.0577/(1+10</w:t>
      </w:r>
      <w:r>
        <w:rPr>
          <w:rFonts w:ascii="Courier" w:eastAsia="Courier" w:hAnsi="Courier" w:cs="Courier"/>
          <w:vertAlign w:val="superscript"/>
        </w:rPr>
        <w:t>7.688-pH</w:t>
      </w:r>
      <w:r>
        <w:rPr>
          <w:rFonts w:ascii="Courier" w:eastAsia="Courier" w:hAnsi="Courier" w:cs="Courier"/>
        </w:rPr>
        <w:t>)) + (2.487/</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(1+10</w:t>
      </w:r>
      <w:r>
        <w:rPr>
          <w:rFonts w:ascii="Courier" w:eastAsia="Courier" w:hAnsi="Courier" w:cs="Courier"/>
          <w:vertAlign w:val="superscript"/>
        </w:rPr>
        <w:t>pH-7.688</w:t>
      </w:r>
      <w:r>
        <w:rPr>
          <w:rFonts w:ascii="Courier" w:eastAsia="Courier" w:hAnsi="Courier" w:cs="Courier"/>
        </w:rPr>
        <w:t>))) * 1.45*10</w:t>
      </w:r>
      <w:r>
        <w:rPr>
          <w:rFonts w:ascii="Courier" w:eastAsia="Courier" w:hAnsi="Courier" w:cs="Courier"/>
          <w:vertAlign w:val="superscript"/>
        </w:rPr>
        <w:t>0.028*</w:t>
      </w:r>
      <w:r>
        <w:rPr>
          <w:rFonts w:ascii="Courier" w:eastAsia="Courier" w:hAnsi="Courier" w:cs="Courier"/>
        </w:rPr>
        <w:t xml:space="preserve"> </w:t>
      </w:r>
      <w:r>
        <w:rPr>
          <w:rFonts w:ascii="Courier" w:eastAsia="Courier" w:hAnsi="Courier" w:cs="Courier"/>
          <w:vertAlign w:val="superscript"/>
        </w:rPr>
        <w:t>(25-MAX(T,7))</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Mill Creek (Salt Lake County) from confluence with Jordan River</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to Interstate 15, Jordan River from </w:t>
      </w:r>
      <w:r>
        <w:rPr>
          <w:rFonts w:ascii="Courier" w:eastAsia="Courier" w:hAnsi="Courier" w:cs="Courier"/>
          <w:color w:val="538135"/>
          <w:u w:val="single"/>
        </w:rPr>
        <w:t>Farmington Bay</w:t>
      </w:r>
      <w:r>
        <w:rPr>
          <w:rFonts w:ascii="Courier" w:eastAsia="Courier" w:hAnsi="Courier" w:cs="Courier"/>
          <w:color w:val="538135"/>
        </w:rPr>
        <w:t xml:space="preserve"> </w:t>
      </w:r>
      <w:r>
        <w:rPr>
          <w:rFonts w:ascii="Courier" w:eastAsia="Courier" w:hAnsi="Courier" w:cs="Courier"/>
          <w:strike/>
        </w:rPr>
        <w:t>900 South Street</w:t>
      </w:r>
      <w:r>
        <w:rPr>
          <w:rFonts w:ascii="Courier" w:eastAsia="Courier" w:hAnsi="Courier" w:cs="Courier"/>
        </w:rPr>
        <w:t xml:space="preserve"> to confluence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with Mill Creek, Surplus Canal from 900 South Street to diversion from the Jordan River, </w:t>
      </w:r>
      <w:r>
        <w:rPr>
          <w:rFonts w:ascii="Courier" w:eastAsia="Courier" w:hAnsi="Courier" w:cs="Courier"/>
          <w:color w:val="70AD47"/>
          <w:u w:val="single"/>
        </w:rPr>
        <w:t>State Canal from Farmington Bay to confluence with the Jordan River,</w:t>
      </w:r>
      <w:r>
        <w:rPr>
          <w:rFonts w:ascii="Courier" w:eastAsia="Courier" w:hAnsi="Courier" w:cs="Courier"/>
        </w:rPr>
        <w:t xml:space="preserve"> Fish Early Life Stages are Present: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(Chronic) = 0.9405 * ((0.0278/(1+10</w:t>
      </w:r>
      <w:r>
        <w:rPr>
          <w:rFonts w:ascii="Courier" w:eastAsia="Courier" w:hAnsi="Courier" w:cs="Courier"/>
          <w:vertAlign w:val="superscript"/>
        </w:rPr>
        <w:t>7.688-pH</w:t>
      </w:r>
      <w:r>
        <w:rPr>
          <w:rFonts w:ascii="Courier" w:eastAsia="Courier" w:hAnsi="Courier" w:cs="Courier"/>
        </w:rPr>
        <w:t>)) + ((1.1994/(1+10</w:t>
      </w:r>
      <w:r>
        <w:rPr>
          <w:rFonts w:ascii="Courier" w:eastAsia="Courier" w:hAnsi="Courier" w:cs="Courier"/>
          <w:vertAlign w:val="superscript"/>
        </w:rPr>
        <w:t>pH-7.688</w:t>
      </w:r>
      <w:r>
        <w:rPr>
          <w:rFonts w:ascii="Courier" w:eastAsia="Courier" w:hAnsi="Courier" w:cs="Courier"/>
        </w:rPr>
        <w:t xml:space="preserve">))) * </w:t>
      </w:r>
      <w:proofErr w:type="gramStart"/>
      <w:r>
        <w:rPr>
          <w:rFonts w:ascii="Courier" w:eastAsia="Courier" w:hAnsi="Courier" w:cs="Courier"/>
        </w:rPr>
        <w:t>MIN(</w:t>
      </w:r>
      <w:proofErr w:type="gramEnd"/>
      <w:r>
        <w:rPr>
          <w:rFonts w:ascii="Courier" w:eastAsia="Courier" w:hAnsi="Courier" w:cs="Courier"/>
        </w:rPr>
        <w:t>6.920,(7.547*10</w:t>
      </w:r>
      <w:r>
        <w:rPr>
          <w:rFonts w:ascii="Courier" w:eastAsia="Courier" w:hAnsi="Courier" w:cs="Courier"/>
          <w:vertAlign w:val="superscript"/>
        </w:rPr>
        <w:t>0.028*(20-T)</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Mill Creek (Salt Lake County) from confluence with Jordan River</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to Interstate 15, Jordan River from </w:t>
      </w:r>
      <w:r>
        <w:rPr>
          <w:rFonts w:ascii="Courier" w:eastAsia="Courier" w:hAnsi="Courier" w:cs="Courier"/>
          <w:color w:val="538135"/>
          <w:u w:val="single"/>
        </w:rPr>
        <w:t>Farmington Bay</w:t>
      </w:r>
      <w:r>
        <w:rPr>
          <w:rFonts w:ascii="Courier" w:eastAsia="Courier" w:hAnsi="Courier" w:cs="Courier"/>
          <w:color w:val="538135"/>
        </w:rPr>
        <w:t xml:space="preserve"> </w:t>
      </w:r>
      <w:r>
        <w:rPr>
          <w:rFonts w:ascii="Courier" w:eastAsia="Courier" w:hAnsi="Courier" w:cs="Courier"/>
          <w:strike/>
        </w:rPr>
        <w:t>900 South Street</w:t>
      </w:r>
      <w:r>
        <w:rPr>
          <w:rFonts w:ascii="Courier" w:eastAsia="Courier" w:hAnsi="Courier" w:cs="Courier"/>
        </w:rPr>
        <w:t xml:space="preserve"> to confluence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lastRenderedPageBreak/>
        <w:t>with Mill Creek, Surplus Canal from 900 South Street to diversion</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from the Jordan River, </w:t>
      </w:r>
      <w:r>
        <w:rPr>
          <w:rFonts w:ascii="Courier" w:eastAsia="Courier" w:hAnsi="Courier" w:cs="Courier"/>
          <w:color w:val="70AD47"/>
          <w:u w:val="single"/>
        </w:rPr>
        <w:t xml:space="preserve">State Canal from Farmington Bay to confluence with the Jordan </w:t>
      </w:r>
      <w:proofErr w:type="spellStart"/>
      <w:proofErr w:type="gramStart"/>
      <w:r>
        <w:rPr>
          <w:rFonts w:ascii="Courier" w:eastAsia="Courier" w:hAnsi="Courier" w:cs="Courier"/>
          <w:color w:val="70AD47"/>
          <w:u w:val="single"/>
        </w:rPr>
        <w:t>River,</w:t>
      </w:r>
      <w:r>
        <w:rPr>
          <w:rFonts w:ascii="Courier" w:eastAsia="Courier" w:hAnsi="Courier" w:cs="Courier"/>
        </w:rPr>
        <w:t>Fish</w:t>
      </w:r>
      <w:proofErr w:type="spellEnd"/>
      <w:proofErr w:type="gramEnd"/>
      <w:r>
        <w:rPr>
          <w:rFonts w:ascii="Courier" w:eastAsia="Courier" w:hAnsi="Courier" w:cs="Courier"/>
        </w:rPr>
        <w:t xml:space="preserve"> Early Life Stages are Absent: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(chronic) = </w:t>
      </w:r>
      <w:r>
        <w:rPr>
          <w:rFonts w:ascii="Courier" w:eastAsia="Courier" w:hAnsi="Courier" w:cs="Courier"/>
          <w:color w:val="538135"/>
          <w:u w:val="single"/>
        </w:rPr>
        <w:t>0.9405</w:t>
      </w:r>
      <w:r>
        <w:rPr>
          <w:rFonts w:ascii="Courier" w:eastAsia="Courier" w:hAnsi="Courier" w:cs="Courier"/>
          <w:color w:val="FF0000"/>
        </w:rPr>
        <w:t xml:space="preserve"> </w:t>
      </w:r>
      <w:r>
        <w:rPr>
          <w:rFonts w:ascii="Courier" w:eastAsia="Courier" w:hAnsi="Courier" w:cs="Courier"/>
          <w:strike/>
          <w:color w:val="FF0000"/>
        </w:rPr>
        <w:t>09.405</w:t>
      </w:r>
      <w:r>
        <w:rPr>
          <w:rFonts w:ascii="Courier" w:eastAsia="Courier" w:hAnsi="Courier" w:cs="Courier"/>
          <w:color w:val="FF0000"/>
        </w:rPr>
        <w:t xml:space="preserve"> </w:t>
      </w:r>
      <w:r>
        <w:rPr>
          <w:rFonts w:ascii="Courier" w:eastAsia="Courier" w:hAnsi="Courier" w:cs="Courier"/>
        </w:rPr>
        <w:t>* (((0.0278/(1+10</w:t>
      </w:r>
      <w:r>
        <w:rPr>
          <w:rFonts w:ascii="Courier" w:eastAsia="Courier" w:hAnsi="Courier" w:cs="Courier"/>
          <w:vertAlign w:val="superscript"/>
        </w:rPr>
        <w:t>7.688-pH</w:t>
      </w:r>
      <w:r>
        <w:rPr>
          <w:rFonts w:ascii="Courier" w:eastAsia="Courier" w:hAnsi="Courier" w:cs="Courier"/>
        </w:rPr>
        <w:t>)) +</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(1.1994/(1+10</w:t>
      </w:r>
      <w:r>
        <w:rPr>
          <w:rFonts w:ascii="Courier" w:eastAsia="Courier" w:hAnsi="Courier" w:cs="Courier"/>
          <w:vertAlign w:val="superscript"/>
        </w:rPr>
        <w:t>pH-7.688</w:t>
      </w:r>
      <w:r>
        <w:rPr>
          <w:rFonts w:ascii="Courier" w:eastAsia="Courier" w:hAnsi="Courier" w:cs="Courier"/>
        </w:rPr>
        <w:t>))) * (7.547*10</w:t>
      </w:r>
      <w:r>
        <w:rPr>
          <w:rFonts w:ascii="Courier" w:eastAsia="Courier" w:hAnsi="Courier" w:cs="Courier"/>
          <w:vertAlign w:val="superscript"/>
        </w:rPr>
        <w:t>0.028*(20-MAX (T,7))</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(9b) The one-hour average concentration of total ammonia</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nitrogen (in mg/l as N) does not exceed, more than once every</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three years on the average the acute criterion calculated</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using the following equations.</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Class 3A:</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(Acute) = (0.275/(1+10</w:t>
      </w:r>
      <w:r>
        <w:rPr>
          <w:rFonts w:ascii="Courier" w:eastAsia="Courier" w:hAnsi="Courier" w:cs="Courier"/>
          <w:vertAlign w:val="superscript"/>
        </w:rPr>
        <w:t>7.204-pH</w:t>
      </w:r>
      <w:r>
        <w:rPr>
          <w:rFonts w:ascii="Courier" w:eastAsia="Courier" w:hAnsi="Courier" w:cs="Courier"/>
        </w:rPr>
        <w:t>)) + (39.0/1+10</w:t>
      </w:r>
      <w:r>
        <w:rPr>
          <w:rFonts w:ascii="Courier" w:eastAsia="Courier" w:hAnsi="Courier" w:cs="Courier"/>
          <w:vertAlign w:val="superscript"/>
        </w:rPr>
        <w:t>pH-7.204</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Class 3B, 3C, 3D:</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(Acute) = 0.411/(1+10</w:t>
      </w:r>
      <w:r>
        <w:rPr>
          <w:rFonts w:ascii="Courier" w:eastAsia="Courier" w:hAnsi="Courier" w:cs="Courier"/>
          <w:vertAlign w:val="superscript"/>
        </w:rPr>
        <w:t>7.204-pH</w:t>
      </w:r>
      <w:r>
        <w:rPr>
          <w:rFonts w:ascii="Courier" w:eastAsia="Courier" w:hAnsi="Courier" w:cs="Courier"/>
        </w:rPr>
        <w:t>)) + (58.4/(1+10</w:t>
      </w:r>
      <w:r>
        <w:rPr>
          <w:rFonts w:ascii="Courier" w:eastAsia="Courier" w:hAnsi="Courier" w:cs="Courier"/>
          <w:vertAlign w:val="superscript"/>
        </w:rPr>
        <w:t>pH-7.204</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Mill Creek (Salt Lake County) from confluence with Jordan River</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to Interstate 15, Jordan River from </w:t>
      </w:r>
      <w:r>
        <w:rPr>
          <w:rFonts w:ascii="Courier" w:eastAsia="Courier" w:hAnsi="Courier" w:cs="Courier"/>
          <w:color w:val="538135"/>
          <w:u w:val="single"/>
        </w:rPr>
        <w:t>Farmington Bay</w:t>
      </w:r>
      <w:r>
        <w:rPr>
          <w:rFonts w:ascii="Courier" w:eastAsia="Courier" w:hAnsi="Courier" w:cs="Courier"/>
          <w:color w:val="538135"/>
        </w:rPr>
        <w:t xml:space="preserve"> </w:t>
      </w:r>
      <w:r>
        <w:rPr>
          <w:rFonts w:ascii="Courier" w:eastAsia="Courier" w:hAnsi="Courier" w:cs="Courier"/>
          <w:strike/>
        </w:rPr>
        <w:t>900 South Street</w:t>
      </w:r>
      <w:r>
        <w:rPr>
          <w:rFonts w:ascii="Courier" w:eastAsia="Courier" w:hAnsi="Courier" w:cs="Courier"/>
        </w:rPr>
        <w:t xml:space="preserve"> to confluence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with Mill Creek, Surplus Canal from 900 South Street to diversion</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from the Jordan River</w:t>
      </w:r>
      <w:r>
        <w:rPr>
          <w:rFonts w:ascii="Courier" w:eastAsia="Courier" w:hAnsi="Courier" w:cs="Courier"/>
          <w:color w:val="70AD47"/>
          <w:u w:val="single"/>
        </w:rPr>
        <w:t>, State Canal from Farmington Bay to confluence with the Jordan River</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mg/l as N (Acute) = 0.729 * (((0.0114/(1+10</w:t>
      </w:r>
      <w:r>
        <w:rPr>
          <w:rFonts w:ascii="Courier" w:eastAsia="Courier" w:hAnsi="Courier" w:cs="Courier"/>
          <w:vertAlign w:val="superscript"/>
        </w:rPr>
        <w:t>7.204-pH</w:t>
      </w:r>
      <w:proofErr w:type="gramStart"/>
      <w:r>
        <w:rPr>
          <w:rFonts w:ascii="Courier" w:eastAsia="Courier" w:hAnsi="Courier" w:cs="Courier"/>
        </w:rPr>
        <w:t>))+(</w:t>
      </w:r>
      <w:proofErr w:type="gramEnd"/>
      <w:r>
        <w:rPr>
          <w:rFonts w:ascii="Courier" w:eastAsia="Courier" w:hAnsi="Courier" w:cs="Courier"/>
        </w:rPr>
        <w:t>1.6181/</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(1+10</w:t>
      </w:r>
      <w:r>
        <w:rPr>
          <w:rFonts w:ascii="Courier" w:eastAsia="Courier" w:hAnsi="Courier" w:cs="Courier"/>
          <w:vertAlign w:val="superscript"/>
        </w:rPr>
        <w:t>pH-7.204</w:t>
      </w:r>
      <w:r>
        <w:rPr>
          <w:rFonts w:ascii="Courier" w:eastAsia="Courier" w:hAnsi="Courier" w:cs="Courier"/>
        </w:rPr>
        <w:t xml:space="preserve">))) * </w:t>
      </w:r>
      <w:proofErr w:type="gramStart"/>
      <w:r>
        <w:rPr>
          <w:rFonts w:ascii="Courier" w:eastAsia="Courier" w:hAnsi="Courier" w:cs="Courier"/>
        </w:rPr>
        <w:t>MIN(</w:t>
      </w:r>
      <w:proofErr w:type="gramEnd"/>
      <w:r>
        <w:rPr>
          <w:rFonts w:ascii="Courier" w:eastAsia="Courier" w:hAnsi="Courier" w:cs="Courier"/>
        </w:rPr>
        <w:t>51.93,(62.15*10</w:t>
      </w:r>
      <w:r>
        <w:rPr>
          <w:rFonts w:ascii="Courier" w:eastAsia="Courier" w:hAnsi="Courier" w:cs="Courier"/>
          <w:vertAlign w:val="superscript"/>
        </w:rPr>
        <w:t>0.036*(20-T)</w:t>
      </w:r>
      <w:r>
        <w:rPr>
          <w:rFonts w:ascii="Courier" w:eastAsia="Courier" w:hAnsi="Courier" w:cs="Courier"/>
        </w:rPr>
        <w: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 xml:space="preserve">    In addition, the highest four-day average within the 30-day</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period should not exceed 2.5 times the chronic criterion.</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The "Fish Early Life Stages are Present" 30-day average total</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ammonia criterion will be applied by default unless it is</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determined by the Director, on a site-specific basis, that it</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is appropriate to apply the "Fish Early Life Stages are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Absent" 30-day average criterion for all or some portion of</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the year.  At a minimum, the "Fish Early Life Stages are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Present" criterion will apply from the beginning of spawning</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through the end of the early life stages.  Early life stages</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include the pre-hatch embryonic stage, the post-hatch free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embryo or yolk-sac fry stage, and the larval stage for the</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species of fish expected to occur at the site.  The Director</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will consult with the Division of Wildlife Resources in making</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such determinations.  The Division will maintain information</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regarding the waterbodies and time periods where application</w:t>
      </w:r>
    </w:p>
    <w:p w:rsidR="003E7ED8" w:rsidRDefault="003E7ED8" w:rsidP="003E7ED8">
      <w:pPr>
        <w:widowControl w:val="0"/>
        <w:tabs>
          <w:tab w:val="left" w:pos="-720"/>
        </w:tabs>
        <w:jc w:val="both"/>
        <w:rPr>
          <w:rFonts w:ascii="Courier" w:eastAsia="Courier" w:hAnsi="Courier" w:cs="Courier"/>
        </w:rPr>
      </w:pPr>
      <w:r>
        <w:rPr>
          <w:rFonts w:ascii="Courier" w:eastAsia="Courier" w:hAnsi="Courier" w:cs="Courier"/>
        </w:rPr>
        <w:t>of the "Early Life Stages are Absent" criterion is determined</w:t>
      </w:r>
    </w:p>
    <w:p w:rsidR="003E7ED8" w:rsidRDefault="003E7ED8" w:rsidP="003E7ED8">
      <w:pPr>
        <w:widowControl w:val="0"/>
        <w:tabs>
          <w:tab w:val="left" w:pos="-720"/>
        </w:tabs>
        <w:jc w:val="both"/>
        <w:rPr>
          <w:rFonts w:ascii="Courier" w:eastAsia="Courier" w:hAnsi="Courier" w:cs="Courier"/>
        </w:rPr>
      </w:pPr>
      <w:bookmarkStart w:id="2" w:name="_heading=h.gjdgxs" w:colFirst="0" w:colLast="0"/>
      <w:bookmarkEnd w:id="2"/>
      <w:r>
        <w:rPr>
          <w:rFonts w:ascii="Courier" w:eastAsia="Courier" w:hAnsi="Courier" w:cs="Courier"/>
        </w:rPr>
        <w:t>to be appropriate.</w:t>
      </w:r>
    </w:p>
    <w:p w:rsidR="003E7ED8" w:rsidRDefault="003E7ED8" w:rsidP="003E7ED8">
      <w:pPr>
        <w:rPr>
          <w:b/>
        </w:rPr>
      </w:pPr>
    </w:p>
    <w:p w:rsidR="003E7ED8" w:rsidRDefault="003E7ED8" w:rsidP="003E7ED8"/>
    <w:p w:rsidR="003E7ED8" w:rsidRDefault="003E7ED8" w:rsidP="003E7ED8"/>
    <w:p w:rsidR="003E7ED8" w:rsidRDefault="003E7ED8" w:rsidP="003E7ED8"/>
    <w:p w:rsidR="003E7ED8" w:rsidRDefault="003E7ED8" w:rsidP="003E7ED8"/>
    <w:p w:rsidR="003E7ED8" w:rsidRDefault="003E7ED8" w:rsidP="003E7ED8"/>
    <w:p w:rsidR="003E7ED8" w:rsidRDefault="003E7ED8" w:rsidP="003E7ED8"/>
    <w:p w:rsidR="003E7ED8" w:rsidRDefault="003E7ED8" w:rsidP="003E7ED8">
      <w:pPr>
        <w:keepNext/>
        <w:jc w:val="center"/>
      </w:pPr>
      <w:r>
        <w:rPr>
          <w:noProof/>
        </w:rPr>
        <w:lastRenderedPageBreak/>
        <w:drawing>
          <wp:inline distT="0" distB="0" distL="0" distR="0" wp14:anchorId="0423FAA2" wp14:editId="7352BE9D">
            <wp:extent cx="4564488" cy="3386455"/>
            <wp:effectExtent l="0" t="0" r="0" b="0"/>
            <wp:docPr id="2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24175"/>
                    <a:stretch>
                      <a:fillRect/>
                    </a:stretch>
                  </pic:blipFill>
                  <pic:spPr>
                    <a:xfrm>
                      <a:off x="0" y="0"/>
                      <a:ext cx="4564488" cy="3386455"/>
                    </a:xfrm>
                    <a:prstGeom prst="rect">
                      <a:avLst/>
                    </a:prstGeom>
                    <a:ln/>
                  </pic:spPr>
                </pic:pic>
              </a:graphicData>
            </a:graphic>
          </wp:inline>
        </w:drawing>
      </w:r>
    </w:p>
    <w:p w:rsidR="003E7ED8" w:rsidRDefault="003E7ED8" w:rsidP="003E7ED8">
      <w:pPr>
        <w:spacing w:after="200"/>
        <w:rPr>
          <w:color w:val="1F497D"/>
          <w:sz w:val="18"/>
          <w:szCs w:val="18"/>
        </w:rPr>
      </w:pPr>
      <w:r>
        <w:rPr>
          <w:color w:val="1F497D"/>
          <w:sz w:val="18"/>
          <w:szCs w:val="18"/>
        </w:rPr>
        <w:t>Figure 1. Overview Google Earth</w:t>
      </w:r>
      <w:r>
        <w:rPr>
          <w:color w:val="1F497D"/>
          <w:sz w:val="18"/>
          <w:szCs w:val="18"/>
          <w:vertAlign w:val="superscript"/>
        </w:rPr>
        <w:t>®</w:t>
      </w:r>
      <w:r>
        <w:rPr>
          <w:color w:val="1F497D"/>
          <w:sz w:val="18"/>
          <w:szCs w:val="18"/>
        </w:rPr>
        <w:t xml:space="preserve"> map of site. From the top and moving south, red pins show approximate boundary of State Canal and Farmington Bay, approximate boundary of Jordan River and Farmington Bay confluence of Jordan River and Little Cottonwood Creek, confluence of Jordan River and State Canal</w:t>
      </w:r>
      <w:proofErr w:type="gramStart"/>
      <w:r>
        <w:rPr>
          <w:color w:val="1F497D"/>
          <w:sz w:val="18"/>
          <w:szCs w:val="18"/>
        </w:rPr>
        <w:t>, ,</w:t>
      </w:r>
      <w:proofErr w:type="gramEnd"/>
      <w:r>
        <w:rPr>
          <w:color w:val="1F497D"/>
          <w:sz w:val="18"/>
          <w:szCs w:val="18"/>
        </w:rPr>
        <w:t xml:space="preserve"> and.</w:t>
      </w:r>
    </w:p>
    <w:p w:rsidR="003E7ED8" w:rsidRDefault="003E7ED8" w:rsidP="003E7ED8"/>
    <w:p w:rsidR="003E7ED8" w:rsidRDefault="003E7ED8" w:rsidP="003E7ED8"/>
    <w:p w:rsidR="003E7ED8" w:rsidRDefault="003E7ED8" w:rsidP="003E7ED8">
      <w:pPr>
        <w:keepNext/>
      </w:pPr>
      <w:r>
        <w:rPr>
          <w:noProof/>
        </w:rPr>
        <w:lastRenderedPageBreak/>
        <w:drawing>
          <wp:inline distT="0" distB="0" distL="0" distR="0" wp14:anchorId="48677BDB" wp14:editId="45074CE9">
            <wp:extent cx="5396515" cy="5149850"/>
            <wp:effectExtent l="0" t="0" r="0" b="0"/>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7116" t="11466" r="6941" b="22589"/>
                    <a:stretch>
                      <a:fillRect/>
                    </a:stretch>
                  </pic:blipFill>
                  <pic:spPr>
                    <a:xfrm>
                      <a:off x="0" y="0"/>
                      <a:ext cx="5396515" cy="5149850"/>
                    </a:xfrm>
                    <a:prstGeom prst="rect">
                      <a:avLst/>
                    </a:prstGeom>
                    <a:ln/>
                  </pic:spPr>
                </pic:pic>
              </a:graphicData>
            </a:graphic>
          </wp:inline>
        </w:drawing>
      </w:r>
    </w:p>
    <w:p w:rsidR="003E7ED8" w:rsidRDefault="003E7ED8" w:rsidP="003E7ED8">
      <w:pPr>
        <w:spacing w:after="200"/>
        <w:rPr>
          <w:color w:val="1F497D"/>
          <w:sz w:val="18"/>
          <w:szCs w:val="18"/>
        </w:rPr>
      </w:pPr>
      <w:r>
        <w:rPr>
          <w:color w:val="1F497D"/>
          <w:sz w:val="18"/>
          <w:szCs w:val="18"/>
        </w:rPr>
        <w:t xml:space="preserve">Figure 2. Mollusk survey locations for Assessment Units Jordan River-1 and Jordan River-2. Source: </w:t>
      </w:r>
      <w:r>
        <w:rPr>
          <w:i/>
          <w:color w:val="1F497D"/>
          <w:sz w:val="18"/>
          <w:szCs w:val="18"/>
        </w:rPr>
        <w:t xml:space="preserve">Lower Jordan River Mollusk Survey as it Relates to South Davis Sewer District South Plant Effluent, </w:t>
      </w:r>
      <w:r>
        <w:rPr>
          <w:color w:val="1F497D"/>
          <w:sz w:val="18"/>
          <w:szCs w:val="18"/>
        </w:rPr>
        <w:t xml:space="preserve">January 2, 2020, </w:t>
      </w:r>
      <w:proofErr w:type="spellStart"/>
      <w:r>
        <w:rPr>
          <w:color w:val="1F497D"/>
          <w:sz w:val="18"/>
          <w:szCs w:val="18"/>
        </w:rPr>
        <w:t>Oreohelix</w:t>
      </w:r>
      <w:proofErr w:type="spellEnd"/>
      <w:r>
        <w:rPr>
          <w:color w:val="1F497D"/>
          <w:sz w:val="18"/>
          <w:szCs w:val="18"/>
        </w:rPr>
        <w:t xml:space="preserve"> Ecological (DWQ-2020-007383)</w:t>
      </w:r>
    </w:p>
    <w:p w:rsidR="003E7ED8" w:rsidRDefault="003E7ED8" w:rsidP="003E7ED8"/>
    <w:p w:rsidR="003E7ED8" w:rsidRDefault="003E7ED8" w:rsidP="003E7ED8"/>
    <w:p w:rsidR="003E7ED8" w:rsidRDefault="003E7ED8" w:rsidP="003E7ED8">
      <w:pPr>
        <w:keepNext/>
      </w:pPr>
      <w:r>
        <w:rPr>
          <w:noProof/>
        </w:rPr>
        <w:lastRenderedPageBreak/>
        <w:drawing>
          <wp:inline distT="0" distB="0" distL="0" distR="0" wp14:anchorId="441E6401" wp14:editId="5CEF60A4">
            <wp:extent cx="5943600" cy="4089400"/>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35669" b="14225"/>
                    <a:stretch>
                      <a:fillRect/>
                    </a:stretch>
                  </pic:blipFill>
                  <pic:spPr>
                    <a:xfrm>
                      <a:off x="0" y="0"/>
                      <a:ext cx="5943600" cy="4089400"/>
                    </a:xfrm>
                    <a:prstGeom prst="rect">
                      <a:avLst/>
                    </a:prstGeom>
                    <a:ln/>
                  </pic:spPr>
                </pic:pic>
              </a:graphicData>
            </a:graphic>
          </wp:inline>
        </w:drawing>
      </w:r>
    </w:p>
    <w:p w:rsidR="003E7ED8" w:rsidRDefault="003E7ED8" w:rsidP="003E7ED8">
      <w:pPr>
        <w:spacing w:after="200"/>
        <w:rPr>
          <w:i/>
          <w:color w:val="1F497D"/>
          <w:sz w:val="18"/>
          <w:szCs w:val="18"/>
        </w:rPr>
      </w:pPr>
      <w:r>
        <w:rPr>
          <w:color w:val="1F497D"/>
          <w:sz w:val="18"/>
          <w:szCs w:val="18"/>
        </w:rPr>
        <w:t>Figure 3. Mollusk survey locations for State Canal. Source</w:t>
      </w:r>
      <w:r>
        <w:rPr>
          <w:i/>
          <w:color w:val="1F497D"/>
          <w:sz w:val="18"/>
          <w:szCs w:val="18"/>
        </w:rPr>
        <w:t xml:space="preserve">: State Canal Mollusk Survey as it relates to South Davis Sewer District South Plant Effluent, </w:t>
      </w:r>
      <w:r>
        <w:rPr>
          <w:color w:val="1F497D"/>
          <w:sz w:val="18"/>
          <w:szCs w:val="18"/>
        </w:rPr>
        <w:t xml:space="preserve">January 3, 2020, </w:t>
      </w:r>
      <w:proofErr w:type="spellStart"/>
      <w:r>
        <w:rPr>
          <w:color w:val="1F497D"/>
          <w:sz w:val="18"/>
          <w:szCs w:val="18"/>
        </w:rPr>
        <w:t>Oreohelix</w:t>
      </w:r>
      <w:proofErr w:type="spellEnd"/>
      <w:r>
        <w:rPr>
          <w:color w:val="1F497D"/>
          <w:sz w:val="18"/>
          <w:szCs w:val="18"/>
        </w:rPr>
        <w:t xml:space="preserve"> Ecological (DWQ-2020-012604)</w:t>
      </w:r>
    </w:p>
    <w:p w:rsidR="003E7ED8" w:rsidRDefault="003E7ED8" w:rsidP="003E7ED8"/>
    <w:p w:rsidR="003E7ED8" w:rsidRDefault="003E7ED8" w:rsidP="003E7ED8"/>
    <w:p w:rsidR="003E7ED8" w:rsidRDefault="003E7ED8" w:rsidP="003E7ED8"/>
    <w:p w:rsidR="003E7ED8" w:rsidRDefault="003E7ED8" w:rsidP="003E7ED8"/>
    <w:p w:rsidR="003E7ED8" w:rsidRDefault="003E7ED8" w:rsidP="003E7ED8">
      <w:pPr>
        <w:keepNext/>
      </w:pPr>
      <w:r>
        <w:rPr>
          <w:noProof/>
        </w:rPr>
        <w:lastRenderedPageBreak/>
        <w:drawing>
          <wp:inline distT="0" distB="0" distL="0" distR="0" wp14:anchorId="665B4B18" wp14:editId="575CB78D">
            <wp:extent cx="4998069" cy="5158855"/>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l="7527" t="7510" r="7764" b="29970"/>
                    <a:stretch>
                      <a:fillRect/>
                    </a:stretch>
                  </pic:blipFill>
                  <pic:spPr>
                    <a:xfrm>
                      <a:off x="0" y="0"/>
                      <a:ext cx="4998069" cy="5158855"/>
                    </a:xfrm>
                    <a:prstGeom prst="rect">
                      <a:avLst/>
                    </a:prstGeom>
                    <a:ln/>
                  </pic:spPr>
                </pic:pic>
              </a:graphicData>
            </a:graphic>
          </wp:inline>
        </w:drawing>
      </w:r>
    </w:p>
    <w:p w:rsidR="003E7ED8" w:rsidRDefault="003E7ED8" w:rsidP="003E7ED8">
      <w:pPr>
        <w:spacing w:after="200"/>
        <w:rPr>
          <w:i/>
          <w:color w:val="1F497D"/>
          <w:sz w:val="18"/>
          <w:szCs w:val="18"/>
        </w:rPr>
      </w:pPr>
      <w:r>
        <w:rPr>
          <w:color w:val="1F497D"/>
          <w:sz w:val="18"/>
          <w:szCs w:val="18"/>
        </w:rPr>
        <w:t>Figure 4. Mollusk survey locations in Assessment Units Jordan River-2 and Jordan River-3. Source:</w:t>
      </w:r>
      <w:r>
        <w:rPr>
          <w:i/>
          <w:color w:val="1F497D"/>
          <w:sz w:val="18"/>
          <w:szCs w:val="18"/>
        </w:rPr>
        <w:t xml:space="preserve"> Jordan River Native Mussel Surveys</w:t>
      </w:r>
      <w:r>
        <w:rPr>
          <w:color w:val="1F497D"/>
          <w:sz w:val="18"/>
          <w:szCs w:val="18"/>
        </w:rPr>
        <w:t xml:space="preserve">, April 9, 2021 </w:t>
      </w:r>
      <w:proofErr w:type="spellStart"/>
      <w:r>
        <w:rPr>
          <w:color w:val="1F497D"/>
          <w:sz w:val="18"/>
          <w:szCs w:val="18"/>
        </w:rPr>
        <w:t>Oreohelix</w:t>
      </w:r>
      <w:proofErr w:type="spellEnd"/>
      <w:r>
        <w:rPr>
          <w:color w:val="1F497D"/>
          <w:sz w:val="18"/>
          <w:szCs w:val="18"/>
        </w:rPr>
        <w:t xml:space="preserve"> Ecological (DWQ-2021-010122)</w:t>
      </w:r>
    </w:p>
    <w:p w:rsidR="003E7ED8" w:rsidRDefault="003E7ED8" w:rsidP="003E7ED8">
      <w:pPr>
        <w:spacing w:after="200"/>
        <w:rPr>
          <w:i/>
          <w:color w:val="1F497D"/>
          <w:sz w:val="18"/>
          <w:szCs w:val="18"/>
        </w:rPr>
      </w:pPr>
      <w:r>
        <w:rPr>
          <w:i/>
          <w:color w:val="1F497D"/>
          <w:sz w:val="18"/>
          <w:szCs w:val="18"/>
        </w:rPr>
        <w:t xml:space="preserve"> .</w:t>
      </w:r>
    </w:p>
    <w:p w:rsidR="003E7ED8" w:rsidRDefault="003E7ED8" w:rsidP="003E7ED8">
      <w:pPr>
        <w:keepNext/>
      </w:pPr>
      <w:r>
        <w:rPr>
          <w:noProof/>
        </w:rPr>
        <w:lastRenderedPageBreak/>
        <w:drawing>
          <wp:inline distT="0" distB="0" distL="0" distR="0" wp14:anchorId="1AFA8247" wp14:editId="1764A068">
            <wp:extent cx="5729122" cy="6182983"/>
            <wp:effectExtent l="0" t="0" r="0" b="0"/>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l="42194" t="-1" b="1591"/>
                    <a:stretch>
                      <a:fillRect/>
                    </a:stretch>
                  </pic:blipFill>
                  <pic:spPr>
                    <a:xfrm>
                      <a:off x="0" y="0"/>
                      <a:ext cx="5729122" cy="6182983"/>
                    </a:xfrm>
                    <a:prstGeom prst="rect">
                      <a:avLst/>
                    </a:prstGeom>
                    <a:ln/>
                  </pic:spPr>
                </pic:pic>
              </a:graphicData>
            </a:graphic>
          </wp:inline>
        </w:drawing>
      </w:r>
    </w:p>
    <w:p w:rsidR="003E7ED8" w:rsidRDefault="003E7ED8" w:rsidP="003E7ED8">
      <w:pPr>
        <w:spacing w:after="200"/>
        <w:rPr>
          <w:i/>
          <w:color w:val="1F497D"/>
          <w:sz w:val="18"/>
          <w:szCs w:val="18"/>
        </w:rPr>
      </w:pPr>
      <w:r>
        <w:rPr>
          <w:color w:val="1F497D"/>
          <w:sz w:val="18"/>
          <w:szCs w:val="18"/>
        </w:rPr>
        <w:t>Figure 5. Mollusk survey locations (green circles) in Jordan River-4.</w:t>
      </w:r>
      <w:r>
        <w:rPr>
          <w:i/>
          <w:color w:val="1F497D"/>
          <w:sz w:val="18"/>
          <w:szCs w:val="18"/>
        </w:rPr>
        <w:t xml:space="preserve"> </w:t>
      </w:r>
      <w:r>
        <w:rPr>
          <w:color w:val="1F497D"/>
          <w:sz w:val="18"/>
          <w:szCs w:val="18"/>
        </w:rPr>
        <w:t xml:space="preserve">(data from </w:t>
      </w:r>
      <w:r>
        <w:rPr>
          <w:i/>
          <w:color w:val="1F497D"/>
          <w:sz w:val="18"/>
          <w:szCs w:val="18"/>
        </w:rPr>
        <w:t xml:space="preserve">Native </w:t>
      </w:r>
      <w:proofErr w:type="spellStart"/>
      <w:r>
        <w:rPr>
          <w:i/>
          <w:color w:val="1F497D"/>
          <w:sz w:val="18"/>
          <w:szCs w:val="18"/>
        </w:rPr>
        <w:t>Unionoida</w:t>
      </w:r>
      <w:proofErr w:type="spellEnd"/>
      <w:r>
        <w:rPr>
          <w:i/>
          <w:color w:val="1F497D"/>
          <w:sz w:val="18"/>
          <w:szCs w:val="18"/>
        </w:rPr>
        <w:t xml:space="preserve"> Surveys, Distribution, and Metapopulation Dynamics in the Jordan River-Utah Lake Drainage, UT</w:t>
      </w:r>
      <w:r>
        <w:rPr>
          <w:color w:val="1F497D"/>
          <w:sz w:val="18"/>
          <w:szCs w:val="18"/>
        </w:rPr>
        <w:t xml:space="preserve">, </w:t>
      </w:r>
      <w:proofErr w:type="spellStart"/>
      <w:r>
        <w:rPr>
          <w:color w:val="1F497D"/>
          <w:sz w:val="18"/>
          <w:szCs w:val="18"/>
        </w:rPr>
        <w:t>Oreohelix</w:t>
      </w:r>
      <w:proofErr w:type="spellEnd"/>
      <w:r>
        <w:rPr>
          <w:color w:val="1F497D"/>
          <w:sz w:val="18"/>
          <w:szCs w:val="18"/>
        </w:rPr>
        <w:t xml:space="preserve"> Ecological, </w:t>
      </w:r>
      <w:r>
        <w:rPr>
          <w:i/>
          <w:color w:val="1F497D"/>
          <w:sz w:val="18"/>
          <w:szCs w:val="18"/>
        </w:rPr>
        <w:t xml:space="preserve">May 26, </w:t>
      </w:r>
      <w:r>
        <w:rPr>
          <w:color w:val="1F497D"/>
          <w:sz w:val="18"/>
          <w:szCs w:val="18"/>
        </w:rPr>
        <w:t>2017)</w:t>
      </w:r>
    </w:p>
    <w:p w:rsidR="003E7ED8" w:rsidRDefault="003E7ED8" w:rsidP="003E7ED8">
      <w:bookmarkStart w:id="3" w:name="_heading=h.1fob9te" w:colFirst="0" w:colLast="0"/>
      <w:bookmarkEnd w:id="3"/>
    </w:p>
    <w:p w:rsidR="003E7ED8" w:rsidRDefault="003E7ED8" w:rsidP="003E7ED8">
      <w:r>
        <w:t xml:space="preserve"> </w:t>
      </w:r>
    </w:p>
    <w:p w:rsidR="00CD5468" w:rsidRPr="003E7ED8" w:rsidRDefault="00CD5468" w:rsidP="003E7ED8"/>
    <w:sectPr w:rsidR="00CD5468" w:rsidRPr="003E7ED8" w:rsidSect="008C0BF7">
      <w:headerReference w:type="default" r:id="rId16"/>
      <w:headerReference w:type="first" r:id="rId17"/>
      <w:footerReference w:type="first" r:id="rId18"/>
      <w:pgSz w:w="12240" w:h="15840" w:code="1"/>
      <w:pgMar w:top="1440" w:right="1440" w:bottom="1260" w:left="1440" w:header="900" w:footer="44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505" w:rsidRDefault="00843505">
      <w:r>
        <w:separator/>
      </w:r>
    </w:p>
  </w:endnote>
  <w:endnote w:type="continuationSeparator" w:id="0">
    <w:p w:rsidR="00843505" w:rsidRDefault="0084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BF7" w:rsidRDefault="008C0BF7" w:rsidP="00BD7704">
    <w:pPr>
      <w:pStyle w:val="ReturnAddress"/>
      <w:framePr w:w="0" w:hRule="auto" w:hSpace="0" w:vSpace="0" w:wrap="auto" w:vAnchor="margin" w:hAnchor="text" w:xAlign="left" w:yAlign="inline"/>
      <w:spacing w:line="180" w:lineRule="atLeast"/>
      <w:ind w:right="-245"/>
      <w:rPr>
        <w:rFonts w:ascii="Times" w:hAnsi="Times"/>
        <w:caps w:val="0"/>
        <w:sz w:val="16"/>
      </w:rPr>
    </w:pPr>
    <w:r>
      <w:rPr>
        <w:rFonts w:ascii="Times" w:hAnsi="Times"/>
        <w:caps w:val="0"/>
        <w:sz w:val="16"/>
      </w:rPr>
      <w:t xml:space="preserve">195 North 1950 West • Salt Lake City, UT                                                                                                                                                                </w:t>
    </w:r>
  </w:p>
  <w:p w:rsidR="008C0BF7" w:rsidRDefault="008C0BF7" w:rsidP="00BD7704">
    <w:pPr>
      <w:pStyle w:val="ReturnAddress"/>
      <w:framePr w:w="0" w:hRule="auto" w:hSpace="0" w:vSpace="0" w:wrap="auto" w:vAnchor="margin" w:hAnchor="text" w:xAlign="left" w:yAlign="inline"/>
      <w:spacing w:line="180" w:lineRule="atLeast"/>
      <w:ind w:right="-245"/>
      <w:rPr>
        <w:rFonts w:ascii="Times" w:hAnsi="Times"/>
        <w:caps w:val="0"/>
        <w:sz w:val="16"/>
      </w:rPr>
    </w:pPr>
    <w:r>
      <w:rPr>
        <w:rFonts w:ascii="Times" w:hAnsi="Times"/>
        <w:caps w:val="0"/>
        <w:sz w:val="16"/>
      </w:rPr>
      <w:t xml:space="preserve"> Mailing Address:  PO Box 144870 • Salt Lake City, UT  84114-4870                                                                                                                </w:t>
    </w:r>
  </w:p>
  <w:p w:rsidR="008C0BF7" w:rsidRPr="00633A2A" w:rsidRDefault="008C0BF7" w:rsidP="00BD7704">
    <w:pPr>
      <w:pStyle w:val="ReturnAddress"/>
      <w:framePr w:w="0" w:hRule="auto" w:hSpace="0" w:vSpace="0" w:wrap="auto" w:vAnchor="margin" w:hAnchor="text" w:xAlign="left" w:yAlign="inline"/>
      <w:spacing w:line="180" w:lineRule="atLeast"/>
      <w:ind w:right="-245"/>
      <w:rPr>
        <w:rFonts w:ascii="Times" w:hAnsi="Times"/>
        <w:i/>
        <w:iCs/>
        <w:caps w:val="0"/>
        <w:sz w:val="14"/>
      </w:rPr>
    </w:pPr>
    <w:r>
      <w:rPr>
        <w:rFonts w:ascii="Times" w:hAnsi="Times"/>
        <w:caps w:val="0"/>
        <w:sz w:val="16"/>
      </w:rPr>
      <w:t xml:space="preserve"> Telephone (801) 536-4300 • Fax (801) 536-4301 • TDD (801) 536-4284                                                                                                         </w:t>
    </w:r>
    <w:r w:rsidRPr="00633A2A">
      <w:rPr>
        <w:rFonts w:ascii="Times" w:hAnsi="Times"/>
        <w:i/>
        <w:iCs/>
        <w:caps w:val="0"/>
        <w:sz w:val="14"/>
      </w:rPr>
      <w:t>www.deq.utah.gov</w:t>
    </w:r>
  </w:p>
  <w:p w:rsidR="008C0BF7" w:rsidRPr="00633A2A" w:rsidRDefault="008C0BF7" w:rsidP="00BD7704">
    <w:pPr>
      <w:pStyle w:val="ReturnAddress"/>
      <w:framePr w:w="0" w:hRule="auto" w:hSpace="0" w:vSpace="0" w:wrap="auto" w:vAnchor="margin" w:hAnchor="text" w:xAlign="left" w:yAlign="inline"/>
      <w:spacing w:line="180" w:lineRule="atLeast"/>
      <w:ind w:right="-245"/>
      <w:rPr>
        <w:rFonts w:ascii="Times" w:hAnsi="Times"/>
        <w:caps w:val="0"/>
        <w:sz w:val="14"/>
      </w:rPr>
    </w:pPr>
    <w:r w:rsidRPr="00633A2A">
      <w:rPr>
        <w:rFonts w:ascii="Times" w:hAnsi="Times"/>
        <w:caps w:val="0"/>
        <w:sz w:val="14"/>
      </w:rPr>
      <w:t>Printed on 100% recycled paper</w:t>
    </w:r>
  </w:p>
  <w:p w:rsidR="006A75CF" w:rsidRDefault="006A75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505" w:rsidRDefault="00843505">
      <w:r>
        <w:separator/>
      </w:r>
    </w:p>
  </w:footnote>
  <w:footnote w:type="continuationSeparator" w:id="0">
    <w:p w:rsidR="00843505" w:rsidRDefault="00843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5CF" w:rsidRPr="0013094E" w:rsidRDefault="0013094E" w:rsidP="0013094E">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5CF" w:rsidRPr="00236254" w:rsidRDefault="00236254" w:rsidP="00236254">
    <w:pPr>
      <w:pStyle w:val="Header"/>
      <w:tabs>
        <w:tab w:val="left" w:pos="6949"/>
      </w:tabs>
      <w:spacing w:before="2520"/>
    </w:pPr>
    <w:r>
      <w:rPr>
        <w:noProof/>
      </w:rPr>
      <mc:AlternateContent>
        <mc:Choice Requires="wps">
          <w:drawing>
            <wp:anchor distT="0" distB="0" distL="114300" distR="114300" simplePos="0" relativeHeight="251664384" behindDoc="0" locked="0" layoutInCell="1" allowOverlap="1" wp14:anchorId="3E947B5F" wp14:editId="1C4C26B1">
              <wp:simplePos x="0" y="0"/>
              <wp:positionH relativeFrom="column">
                <wp:posOffset>-586740</wp:posOffset>
              </wp:positionH>
              <wp:positionV relativeFrom="paragraph">
                <wp:posOffset>894715</wp:posOffset>
              </wp:positionV>
              <wp:extent cx="1617345" cy="67056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6254" w:rsidRDefault="00236254" w:rsidP="003834D9">
                          <w:pPr>
                            <w:jc w:val="center"/>
                            <w:rPr>
                              <w:rFonts w:ascii="Times" w:hAnsi="Times"/>
                              <w:sz w:val="16"/>
                            </w:rPr>
                          </w:pPr>
                          <w:r>
                            <w:rPr>
                              <w:rFonts w:ascii="Times" w:hAnsi="Times"/>
                              <w:sz w:val="16"/>
                            </w:rPr>
                            <w:t>SPENCER J. COX</w:t>
                          </w:r>
                        </w:p>
                        <w:p w:rsidR="00236254" w:rsidRDefault="00236254" w:rsidP="003834D9">
                          <w:pPr>
                            <w:pStyle w:val="Heading8"/>
                            <w:rPr>
                              <w:sz w:val="16"/>
                            </w:rPr>
                          </w:pPr>
                          <w:r>
                            <w:rPr>
                              <w:sz w:val="16"/>
                            </w:rPr>
                            <w:t>Governor</w:t>
                          </w:r>
                        </w:p>
                        <w:p w:rsidR="00236254" w:rsidRDefault="00236254" w:rsidP="003834D9">
                          <w:pPr>
                            <w:jc w:val="center"/>
                            <w:rPr>
                              <w:rFonts w:ascii="Times" w:hAnsi="Times"/>
                              <w:sz w:val="16"/>
                            </w:rPr>
                          </w:pPr>
                        </w:p>
                        <w:p w:rsidR="00236254" w:rsidRDefault="00236254" w:rsidP="003834D9">
                          <w:pPr>
                            <w:jc w:val="center"/>
                            <w:rPr>
                              <w:rFonts w:ascii="Times" w:hAnsi="Times"/>
                              <w:sz w:val="16"/>
                            </w:rPr>
                          </w:pPr>
                          <w:r>
                            <w:rPr>
                              <w:rFonts w:ascii="Times" w:hAnsi="Times"/>
                              <w:sz w:val="16"/>
                            </w:rPr>
                            <w:t>DEIDRE HENDERSON</w:t>
                          </w:r>
                        </w:p>
                        <w:p w:rsidR="00236254" w:rsidRDefault="00236254" w:rsidP="003834D9">
                          <w:pPr>
                            <w:jc w:val="center"/>
                            <w:rPr>
                              <w:rFonts w:ascii="Times" w:hAnsi="Times"/>
                              <w:i/>
                              <w:sz w:val="16"/>
                            </w:rPr>
                          </w:pPr>
                          <w:r>
                            <w:rPr>
                              <w:rFonts w:ascii="Times" w:hAnsi="Times"/>
                              <w:i/>
                              <w:sz w:val="16"/>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47B5F" id="_x0000_t202" coordsize="21600,21600" o:spt="202" path="m,l,21600r21600,l21600,xe">
              <v:stroke joinstyle="miter"/>
              <v:path gradientshapeok="t" o:connecttype="rect"/>
            </v:shapetype>
            <v:shape id="Text Box 11" o:spid="_x0000_s1026" type="#_x0000_t202" style="position:absolute;margin-left:-46.2pt;margin-top:70.45pt;width:127.35pt;height:5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" filled="f" stroked="f">
              <v:textbox>
                <w:txbxContent>
                  <w:p w:rsidR="00236254" w:rsidRDefault="00236254" w:rsidP="003834D9">
                    <w:pPr>
                      <w:jc w:val="center"/>
                      <w:rPr>
                        <w:rFonts w:ascii="Times" w:hAnsi="Times"/>
                        <w:sz w:val="16"/>
                      </w:rPr>
                    </w:pPr>
                    <w:r>
                      <w:rPr>
                        <w:rFonts w:ascii="Times" w:hAnsi="Times"/>
                        <w:sz w:val="16"/>
                      </w:rPr>
                      <w:t>SPENCER J. COX</w:t>
                    </w:r>
                  </w:p>
                  <w:p w:rsidR="00236254" w:rsidRDefault="00236254" w:rsidP="003834D9">
                    <w:pPr>
                      <w:pStyle w:val="Heading8"/>
                      <w:rPr>
                        <w:sz w:val="16"/>
                      </w:rPr>
                    </w:pPr>
                    <w:r>
                      <w:rPr>
                        <w:sz w:val="16"/>
                      </w:rPr>
                      <w:t>Governor</w:t>
                    </w:r>
                  </w:p>
                  <w:p w:rsidR="00236254" w:rsidRDefault="00236254" w:rsidP="003834D9">
                    <w:pPr>
                      <w:jc w:val="center"/>
                      <w:rPr>
                        <w:rFonts w:ascii="Times" w:hAnsi="Times"/>
                        <w:sz w:val="16"/>
                      </w:rPr>
                    </w:pPr>
                  </w:p>
                  <w:p w:rsidR="00236254" w:rsidRDefault="00236254" w:rsidP="003834D9">
                    <w:pPr>
                      <w:jc w:val="center"/>
                      <w:rPr>
                        <w:rFonts w:ascii="Times" w:hAnsi="Times"/>
                        <w:sz w:val="16"/>
                      </w:rPr>
                    </w:pPr>
                    <w:r>
                      <w:rPr>
                        <w:rFonts w:ascii="Times" w:hAnsi="Times"/>
                        <w:sz w:val="16"/>
                      </w:rPr>
                      <w:t>DEIDRE HENDERSON</w:t>
                    </w:r>
                  </w:p>
                  <w:p w:rsidR="00236254" w:rsidRDefault="00236254" w:rsidP="003834D9">
                    <w:pPr>
                      <w:jc w:val="center"/>
                      <w:rPr>
                        <w:rFonts w:ascii="Times" w:hAnsi="Times"/>
                        <w:i/>
                        <w:sz w:val="16"/>
                      </w:rPr>
                    </w:pPr>
                    <w:r>
                      <w:rPr>
                        <w:rFonts w:ascii="Times" w:hAnsi="Times"/>
                        <w:i/>
                        <w:sz w:val="16"/>
                      </w:rPr>
                      <w:t>Lieutenant Governor</w:t>
                    </w:r>
                  </w:p>
                </w:txbxContent>
              </v:textbox>
              <w10:wrap type="square"/>
            </v:shape>
          </w:pict>
        </mc:Fallback>
      </mc:AlternateContent>
    </w:r>
    <w:r>
      <w:rPr>
        <w:noProof/>
        <w:sz w:val="20"/>
      </w:rPr>
      <mc:AlternateContent>
        <mc:Choice Requires="wps">
          <w:drawing>
            <wp:anchor distT="0" distB="0" distL="114300" distR="114300" simplePos="0" relativeHeight="251662336" behindDoc="0" locked="0" layoutInCell="1" allowOverlap="1" wp14:anchorId="2208CD21" wp14:editId="37E8F7CE">
              <wp:simplePos x="0" y="0"/>
              <wp:positionH relativeFrom="column">
                <wp:posOffset>1211580</wp:posOffset>
              </wp:positionH>
              <wp:positionV relativeFrom="paragraph">
                <wp:posOffset>-121920</wp:posOffset>
              </wp:positionV>
              <wp:extent cx="2004695" cy="1424940"/>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254" w:rsidRDefault="00236254" w:rsidP="003834D9">
                          <w:pPr>
                            <w:jc w:val="center"/>
                            <w:rPr>
                              <w:rFonts w:ascii="Times" w:hAnsi="Times"/>
                              <w:sz w:val="26"/>
                            </w:rPr>
                          </w:pPr>
                          <w:r>
                            <w:rPr>
                              <w:rFonts w:ascii="Times" w:hAnsi="Times"/>
                              <w:sz w:val="26"/>
                            </w:rPr>
                            <w:t>Department of Environmental Quality</w:t>
                          </w:r>
                        </w:p>
                        <w:p w:rsidR="00236254" w:rsidRPr="00E64E48" w:rsidRDefault="00236254" w:rsidP="003834D9">
                          <w:pPr>
                            <w:jc w:val="center"/>
                            <w:rPr>
                              <w:rFonts w:ascii="Times" w:hAnsi="Times"/>
                              <w:sz w:val="12"/>
                              <w:szCs w:val="12"/>
                            </w:rPr>
                          </w:pPr>
                        </w:p>
                        <w:p w:rsidR="00236254" w:rsidRDefault="00236254" w:rsidP="003834D9">
                          <w:pPr>
                            <w:jc w:val="center"/>
                            <w:rPr>
                              <w:rFonts w:ascii="Times" w:hAnsi="Times"/>
                              <w:sz w:val="16"/>
                            </w:rPr>
                          </w:pPr>
                          <w:r>
                            <w:rPr>
                              <w:rFonts w:ascii="Times" w:hAnsi="Times"/>
                              <w:sz w:val="16"/>
                            </w:rPr>
                            <w:t>Kimberly D. Shelley</w:t>
                          </w:r>
                        </w:p>
                        <w:p w:rsidR="00236254" w:rsidRDefault="00236254" w:rsidP="003834D9">
                          <w:pPr>
                            <w:pStyle w:val="Heading8"/>
                            <w:rPr>
                              <w:sz w:val="16"/>
                            </w:rPr>
                          </w:pPr>
                          <w:r>
                            <w:rPr>
                              <w:sz w:val="16"/>
                            </w:rPr>
                            <w:t>Executive Director</w:t>
                          </w:r>
                        </w:p>
                        <w:p w:rsidR="00236254" w:rsidRDefault="00236254" w:rsidP="003834D9">
                          <w:pPr>
                            <w:jc w:val="center"/>
                            <w:rPr>
                              <w:rFonts w:ascii="Times" w:hAnsi="Times"/>
                              <w:sz w:val="16"/>
                            </w:rPr>
                          </w:pPr>
                        </w:p>
                        <w:p w:rsidR="00236254" w:rsidRDefault="00236254" w:rsidP="003834D9">
                          <w:pPr>
                            <w:jc w:val="center"/>
                            <w:rPr>
                              <w:rFonts w:ascii="Times" w:hAnsi="Times"/>
                              <w:sz w:val="16"/>
                            </w:rPr>
                          </w:pPr>
                          <w:r>
                            <w:rPr>
                              <w:rFonts w:ascii="Times" w:hAnsi="Times"/>
                              <w:sz w:val="16"/>
                            </w:rPr>
                            <w:t>DIVISION OF WATER QUALITY</w:t>
                          </w:r>
                        </w:p>
                        <w:p w:rsidR="00236254" w:rsidRDefault="00236254" w:rsidP="003834D9">
                          <w:pPr>
                            <w:jc w:val="center"/>
                            <w:rPr>
                              <w:rFonts w:ascii="Times" w:hAnsi="Times"/>
                              <w:sz w:val="16"/>
                            </w:rPr>
                          </w:pPr>
                          <w:r>
                            <w:rPr>
                              <w:rFonts w:ascii="Times" w:hAnsi="Times"/>
                              <w:sz w:val="16"/>
                            </w:rPr>
                            <w:t>Erica Brown Gaddis, PhD</w:t>
                          </w:r>
                        </w:p>
                        <w:p w:rsidR="00236254" w:rsidRPr="00CF76B9" w:rsidRDefault="00236254" w:rsidP="003834D9">
                          <w:pPr>
                            <w:pStyle w:val="Heading8"/>
                            <w:rPr>
                              <w:sz w:val="16"/>
                              <w:szCs w:val="16"/>
                            </w:rPr>
                          </w:pPr>
                          <w:r w:rsidRPr="00CF76B9">
                            <w:rPr>
                              <w:sz w:val="16"/>
                              <w:szCs w:val="16"/>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CD21" id="Text Box 13" o:spid="_x0000_s1027" type="#_x0000_t202" style="position:absolute;margin-left:95.4pt;margin-top:-9.6pt;width:157.85pt;height:1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dlhgIAABk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" stroked="f">
              <v:textbox>
                <w:txbxContent>
                  <w:p w:rsidR="00236254" w:rsidRDefault="00236254" w:rsidP="003834D9">
                    <w:pPr>
                      <w:jc w:val="center"/>
                      <w:rPr>
                        <w:rFonts w:ascii="Times" w:hAnsi="Times"/>
                        <w:sz w:val="26"/>
                      </w:rPr>
                    </w:pPr>
                    <w:r>
                      <w:rPr>
                        <w:rFonts w:ascii="Times" w:hAnsi="Times"/>
                        <w:sz w:val="26"/>
                      </w:rPr>
                      <w:t>Department of Environmental Quality</w:t>
                    </w:r>
                  </w:p>
                  <w:p w:rsidR="00236254" w:rsidRPr="00E64E48" w:rsidRDefault="00236254" w:rsidP="003834D9">
                    <w:pPr>
                      <w:jc w:val="center"/>
                      <w:rPr>
                        <w:rFonts w:ascii="Times" w:hAnsi="Times"/>
                        <w:sz w:val="12"/>
                        <w:szCs w:val="12"/>
                      </w:rPr>
                    </w:pPr>
                  </w:p>
                  <w:p w:rsidR="00236254" w:rsidRDefault="00236254" w:rsidP="003834D9">
                    <w:pPr>
                      <w:jc w:val="center"/>
                      <w:rPr>
                        <w:rFonts w:ascii="Times" w:hAnsi="Times"/>
                        <w:sz w:val="16"/>
                      </w:rPr>
                    </w:pPr>
                    <w:r>
                      <w:rPr>
                        <w:rFonts w:ascii="Times" w:hAnsi="Times"/>
                        <w:sz w:val="16"/>
                      </w:rPr>
                      <w:t>Kimberly D. Shelley</w:t>
                    </w:r>
                  </w:p>
                  <w:p w:rsidR="00236254" w:rsidRDefault="00236254" w:rsidP="003834D9">
                    <w:pPr>
                      <w:pStyle w:val="Heading8"/>
                      <w:rPr>
                        <w:sz w:val="16"/>
                      </w:rPr>
                    </w:pPr>
                    <w:r>
                      <w:rPr>
                        <w:sz w:val="16"/>
                      </w:rPr>
                      <w:t>Executive Director</w:t>
                    </w:r>
                  </w:p>
                  <w:p w:rsidR="00236254" w:rsidRDefault="00236254" w:rsidP="003834D9">
                    <w:pPr>
                      <w:jc w:val="center"/>
                      <w:rPr>
                        <w:rFonts w:ascii="Times" w:hAnsi="Times"/>
                        <w:sz w:val="16"/>
                      </w:rPr>
                    </w:pPr>
                  </w:p>
                  <w:p w:rsidR="00236254" w:rsidRDefault="00236254" w:rsidP="003834D9">
                    <w:pPr>
                      <w:jc w:val="center"/>
                      <w:rPr>
                        <w:rFonts w:ascii="Times" w:hAnsi="Times"/>
                        <w:sz w:val="16"/>
                      </w:rPr>
                    </w:pPr>
                    <w:r>
                      <w:rPr>
                        <w:rFonts w:ascii="Times" w:hAnsi="Times"/>
                        <w:sz w:val="16"/>
                      </w:rPr>
                      <w:t>DIVISION OF WATER QUALITY</w:t>
                    </w:r>
                  </w:p>
                  <w:p w:rsidR="00236254" w:rsidRDefault="00236254" w:rsidP="003834D9">
                    <w:pPr>
                      <w:jc w:val="center"/>
                      <w:rPr>
                        <w:rFonts w:ascii="Times" w:hAnsi="Times"/>
                        <w:sz w:val="16"/>
                      </w:rPr>
                    </w:pPr>
                    <w:r>
                      <w:rPr>
                        <w:rFonts w:ascii="Times" w:hAnsi="Times"/>
                        <w:sz w:val="16"/>
                      </w:rPr>
                      <w:t>Erica Brown Gaddis, PhD</w:t>
                    </w:r>
                  </w:p>
                  <w:p w:rsidR="00236254" w:rsidRPr="00CF76B9" w:rsidRDefault="00236254" w:rsidP="003834D9">
                    <w:pPr>
                      <w:pStyle w:val="Heading8"/>
                      <w:rPr>
                        <w:sz w:val="16"/>
                        <w:szCs w:val="16"/>
                      </w:rPr>
                    </w:pPr>
                    <w:r w:rsidRPr="00CF76B9">
                      <w:rPr>
                        <w:sz w:val="16"/>
                        <w:szCs w:val="16"/>
                      </w:rPr>
                      <w:t>Director</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7EB5C995" wp14:editId="1F03452E">
              <wp:simplePos x="0" y="0"/>
              <wp:positionH relativeFrom="column">
                <wp:posOffset>-609600</wp:posOffset>
              </wp:positionH>
              <wp:positionV relativeFrom="paragraph">
                <wp:posOffset>609600</wp:posOffset>
              </wp:positionV>
              <wp:extent cx="1676400" cy="2667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254" w:rsidRDefault="00236254" w:rsidP="003834D9">
                          <w:pPr>
                            <w:jc w:val="center"/>
                            <w:rPr>
                              <w:rFonts w:ascii="Times" w:hAnsi="Times"/>
                              <w:sz w:val="28"/>
                            </w:rPr>
                          </w:pPr>
                          <w:r>
                            <w:rPr>
                              <w:rFonts w:ascii="Times" w:hAnsi="Times"/>
                              <w:sz w:val="28"/>
                            </w:rPr>
                            <w:t xml:space="preserve">State of </w:t>
                          </w:r>
                          <w:smartTag w:uri="urn:schemas-microsoft-com:office:smarttags" w:element="State">
                            <w:smartTag w:uri="urn:schemas-microsoft-com:office:smarttags" w:element="place">
                              <w:r>
                                <w:rPr>
                                  <w:rFonts w:ascii="Times" w:hAnsi="Times"/>
                                  <w:sz w:val="28"/>
                                </w:rPr>
                                <w:t>Utah</w:t>
                              </w:r>
                            </w:smartTag>
                          </w:smartTag>
                          <w:r>
                            <w:rPr>
                              <w:rFonts w:ascii="Times" w:hAnsi="Times"/>
                              <w:sz w:val="28"/>
                            </w:rPr>
                            <w:t xml:space="preserve"> </w:t>
                          </w:r>
                        </w:p>
                        <w:p w:rsidR="00236254" w:rsidRPr="00CF76B9" w:rsidRDefault="00236254" w:rsidP="003834D9">
                          <w:pPr>
                            <w:jc w:val="center"/>
                            <w:rPr>
                              <w:rFonts w:ascii="Times" w:hAnsi="Times"/>
                              <w:sz w:val="16"/>
                              <w:szCs w:val="16"/>
                            </w:rPr>
                          </w:pPr>
                        </w:p>
                        <w:p w:rsidR="00236254" w:rsidRDefault="00236254" w:rsidP="003834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5C995" id="Text Box 14" o:spid="_x0000_s1028" type="#_x0000_t202" style="position:absolute;margin-left:-48pt;margin-top:48pt;width:13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st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" filled="f" stroked="f">
              <v:textbox>
                <w:txbxContent>
                  <w:p w:rsidR="00236254" w:rsidRDefault="00236254" w:rsidP="003834D9">
                    <w:pPr>
                      <w:jc w:val="center"/>
                      <w:rPr>
                        <w:rFonts w:ascii="Times" w:hAnsi="Times"/>
                        <w:sz w:val="28"/>
                      </w:rPr>
                    </w:pPr>
                    <w:r>
                      <w:rPr>
                        <w:rFonts w:ascii="Times" w:hAnsi="Times"/>
                        <w:sz w:val="28"/>
                      </w:rPr>
                      <w:t xml:space="preserve">State of </w:t>
                    </w:r>
                    <w:smartTag w:uri="urn:schemas-microsoft-com:office:smarttags" w:element="State">
                      <w:smartTag w:uri="urn:schemas-microsoft-com:office:smarttags" w:element="place">
                        <w:r>
                          <w:rPr>
                            <w:rFonts w:ascii="Times" w:hAnsi="Times"/>
                            <w:sz w:val="28"/>
                          </w:rPr>
                          <w:t>Utah</w:t>
                        </w:r>
                      </w:smartTag>
                    </w:smartTag>
                    <w:r>
                      <w:rPr>
                        <w:rFonts w:ascii="Times" w:hAnsi="Times"/>
                        <w:sz w:val="28"/>
                      </w:rPr>
                      <w:t xml:space="preserve"> </w:t>
                    </w:r>
                  </w:p>
                  <w:p w:rsidR="00236254" w:rsidRPr="00CF76B9" w:rsidRDefault="00236254" w:rsidP="003834D9">
                    <w:pPr>
                      <w:jc w:val="center"/>
                      <w:rPr>
                        <w:rFonts w:ascii="Times" w:hAnsi="Times"/>
                        <w:sz w:val="16"/>
                        <w:szCs w:val="16"/>
                      </w:rPr>
                    </w:pPr>
                  </w:p>
                  <w:p w:rsidR="00236254" w:rsidRDefault="00236254" w:rsidP="003834D9">
                    <w:pPr>
                      <w:jc w:val="center"/>
                    </w:pPr>
                  </w:p>
                </w:txbxContent>
              </v:textbox>
              <w10:wrap type="square"/>
            </v:shape>
          </w:pict>
        </mc:Fallback>
      </mc:AlternateContent>
    </w:r>
    <w:r>
      <w:rPr>
        <w:noProof/>
        <w:sz w:val="20"/>
      </w:rPr>
      <mc:AlternateContent>
        <mc:Choice Requires="wps">
          <w:drawing>
            <wp:anchor distT="0" distB="0" distL="114300" distR="114300" simplePos="0" relativeHeight="251660288" behindDoc="0" locked="0" layoutInCell="1" allowOverlap="1" wp14:anchorId="5B81A67D" wp14:editId="17DCECC5">
              <wp:simplePos x="0" y="0"/>
              <wp:positionH relativeFrom="column">
                <wp:posOffset>1143000</wp:posOffset>
              </wp:positionH>
              <wp:positionV relativeFrom="paragraph">
                <wp:posOffset>-256540</wp:posOffset>
              </wp:positionV>
              <wp:extent cx="0" cy="1714500"/>
              <wp:effectExtent l="19050" t="19685" r="19050" b="27940"/>
              <wp:wrapSquare wrapText="bothSides"/>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8715A"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2pt" to="90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WhEgIAACoEAAAOAAAAZHJzL2Uyb0RvYy54bWysU8GO2jAQvVfaf7B8hySQZd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" strokeweight="3pt">
              <w10:wrap type="square"/>
            </v:line>
          </w:pict>
        </mc:Fallback>
      </mc:AlternateContent>
    </w:r>
    <w:r>
      <w:rPr>
        <w:noProof/>
        <w:sz w:val="20"/>
      </w:rPr>
      <w:drawing>
        <wp:anchor distT="0" distB="0" distL="114300" distR="114300" simplePos="0" relativeHeight="251661312" behindDoc="0" locked="0" layoutInCell="1" allowOverlap="1" wp14:anchorId="1173EF80" wp14:editId="27B7C23D">
          <wp:simplePos x="0" y="0"/>
          <wp:positionH relativeFrom="column">
            <wp:posOffset>-142875</wp:posOffset>
          </wp:positionH>
          <wp:positionV relativeFrom="paragraph">
            <wp:posOffset>-160020</wp:posOffset>
          </wp:positionV>
          <wp:extent cx="762000" cy="753745"/>
          <wp:effectExtent l="0" t="0" r="0" b="8255"/>
          <wp:wrapSquare wrapText="bothSides"/>
          <wp:docPr id="9" name="Picture 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seal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537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6B59"/>
    <w:multiLevelType w:val="multilevel"/>
    <w:tmpl w:val="EA0E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331CE"/>
    <w:multiLevelType w:val="multilevel"/>
    <w:tmpl w:val="F59E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93F01"/>
    <w:multiLevelType w:val="multilevel"/>
    <w:tmpl w:val="78CA5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Outlinesmcap1"/>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D71E5F"/>
    <w:multiLevelType w:val="multilevel"/>
    <w:tmpl w:val="956E3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867ED"/>
    <w:multiLevelType w:val="multilevel"/>
    <w:tmpl w:val="02921D66"/>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suff w:val="space"/>
      <w:lvlText w:val="%1.%2"/>
      <w:lvlJc w:val="left"/>
      <w:pPr>
        <w:ind w:left="720" w:hanging="72"/>
      </w:pPr>
      <w:rPr>
        <w:rFonts w:ascii="Helvetica-Narrow" w:hAnsi="Helvetica-Narrow" w:hint="default"/>
        <w:b/>
        <w:i/>
        <w:caps/>
        <w:sz w:val="24"/>
      </w:rPr>
    </w:lvl>
    <w:lvl w:ilvl="2">
      <w:start w:val="1"/>
      <w:numFmt w:val="bullet"/>
      <w:pStyle w:val="SmallCapout1"/>
      <w:lvlText w:val="–"/>
      <w:lvlJc w:val="left"/>
      <w:pPr>
        <w:tabs>
          <w:tab w:val="num" w:pos="1872"/>
        </w:tabs>
        <w:ind w:left="1872" w:hanging="432"/>
      </w:pPr>
      <w:rPr>
        <w:rFonts w:ascii="Times New Roman" w:hAnsi="Times New Roman" w:cs="Times New Roman" w:hint="default"/>
        <w:b w:val="0"/>
        <w:i w:val="0"/>
        <w:caps w:val="0"/>
        <w:color w:val="auto"/>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C68075F"/>
    <w:multiLevelType w:val="multilevel"/>
    <w:tmpl w:val="4FECA686"/>
    <w:lvl w:ilvl="0">
      <w:start w:val="1"/>
      <w:numFmt w:val="decimal"/>
      <w:pStyle w:val="Outlinesmcap1"/>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EA0089F"/>
    <w:multiLevelType w:val="multilevel"/>
    <w:tmpl w:val="BC04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493B09"/>
    <w:multiLevelType w:val="multilevel"/>
    <w:tmpl w:val="0D26CB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13ADE"/>
    <w:multiLevelType w:val="multilevel"/>
    <w:tmpl w:val="19C27BE6"/>
    <w:lvl w:ilvl="0">
      <w:start w:val="1"/>
      <w:numFmt w:val="decimal"/>
      <w:pStyle w:val="EnvelopeAddres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5C46BD"/>
    <w:multiLevelType w:val="multilevel"/>
    <w:tmpl w:val="3F226A92"/>
    <w:lvl w:ilvl="0">
      <w:start w:val="1"/>
      <w:numFmt w:val="decimal"/>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Narrow" w:hAnsi="Helvetica-Narrow" w:hint="default"/>
        <w:b/>
        <w:i/>
        <w:caps/>
        <w:sz w:val="24"/>
      </w:rPr>
    </w:lvl>
    <w:lvl w:ilvl="2">
      <w:start w:val="1"/>
      <w:numFmt w:val="bullet"/>
      <w:pStyle w:val="Outline3dash"/>
      <w:lvlText w:val="–"/>
      <w:lvlJc w:val="left"/>
      <w:pPr>
        <w:tabs>
          <w:tab w:val="num" w:pos="1440"/>
        </w:tabs>
        <w:ind w:left="1440" w:hanging="360"/>
      </w:pPr>
      <w:rPr>
        <w:rFonts w:ascii="Times New Roman" w:hAns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0" w15:restartNumberingAfterBreak="0">
    <w:nsid w:val="38182E88"/>
    <w:multiLevelType w:val="multilevel"/>
    <w:tmpl w:val="B90804AC"/>
    <w:lvl w:ilvl="0">
      <w:start w:val="1"/>
      <w:numFmt w:val="bullet"/>
      <w:pStyle w:val="Outline3das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60F4B"/>
    <w:multiLevelType w:val="multilevel"/>
    <w:tmpl w:val="D652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21709E"/>
    <w:multiLevelType w:val="multilevel"/>
    <w:tmpl w:val="7B1EC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NormalInden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1C7A19"/>
    <w:multiLevelType w:val="multilevel"/>
    <w:tmpl w:val="CE2C22E6"/>
    <w:lvl w:ilvl="0">
      <w:start w:val="1"/>
      <w:numFmt w:val="bullet"/>
      <w:pStyle w:val="ARoutline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6C02AB"/>
    <w:multiLevelType w:val="multilevel"/>
    <w:tmpl w:val="0E36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670675"/>
    <w:multiLevelType w:val="multilevel"/>
    <w:tmpl w:val="DC067688"/>
    <w:lvl w:ilvl="0">
      <w:start w:val="1"/>
      <w:numFmt w:val="decimal"/>
      <w:pStyle w:val="ARoutline1"/>
      <w:lvlText w:val="%1.0"/>
      <w:lvlJc w:val="left"/>
      <w:pPr>
        <w:tabs>
          <w:tab w:val="num" w:pos="720"/>
        </w:tabs>
        <w:ind w:left="720" w:hanging="720"/>
      </w:pPr>
      <w:rPr>
        <w:rFonts w:ascii="Helvetica-Narrow" w:hAnsi="Helvetica-Narrow" w:hint="default"/>
        <w:b/>
        <w:i w:val="0"/>
        <w:caps/>
        <w:sz w:val="24"/>
      </w:rPr>
    </w:lvl>
    <w:lvl w:ilvl="1">
      <w:start w:val="1"/>
      <w:numFmt w:val="decimal"/>
      <w:lvlText w:val="%1.%2"/>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16" w15:restartNumberingAfterBreak="0">
    <w:nsid w:val="5740778D"/>
    <w:multiLevelType w:val="multilevel"/>
    <w:tmpl w:val="50EE3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ED22B4"/>
    <w:multiLevelType w:val="multilevel"/>
    <w:tmpl w:val="2DD4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247443"/>
    <w:multiLevelType w:val="multilevel"/>
    <w:tmpl w:val="2D848E30"/>
    <w:lvl w:ilvl="0">
      <w:start w:val="1"/>
      <w:numFmt w:val="decimal"/>
      <w:pStyle w:val="Style1"/>
      <w:lvlText w:val="%1.0"/>
      <w:lvlJc w:val="left"/>
      <w:pPr>
        <w:tabs>
          <w:tab w:val="num" w:pos="720"/>
        </w:tabs>
        <w:ind w:left="720" w:hanging="720"/>
      </w:pPr>
      <w:rPr>
        <w:rFonts w:ascii="Helvetica-Narrow" w:hAnsi="Helvetica-Narrow" w:hint="default"/>
        <w:b/>
        <w:i w:val="0"/>
        <w:caps/>
        <w:sz w:val="24"/>
      </w:rPr>
    </w:lvl>
    <w:lvl w:ilvl="1">
      <w:start w:val="1"/>
      <w:numFmt w:val="decimal"/>
      <w:lvlRestart w:val="0"/>
      <w:lvlText w:val="%1."/>
      <w:lvlJc w:val="left"/>
      <w:pPr>
        <w:tabs>
          <w:tab w:val="num" w:pos="1080"/>
        </w:tabs>
        <w:ind w:left="1080" w:hanging="504"/>
      </w:pPr>
      <w:rPr>
        <w:rFonts w:ascii="Helvetica" w:hAnsi="Helvetica" w:hint="default"/>
        <w:b/>
        <w:i/>
        <w:caps/>
        <w:sz w:val="24"/>
      </w:rPr>
    </w:lvl>
    <w:lvl w:ilvl="2">
      <w:start w:val="1"/>
      <w:numFmt w:val="bullet"/>
      <w:lvlText w:val="–"/>
      <w:lvlJc w:val="left"/>
      <w:pPr>
        <w:tabs>
          <w:tab w:val="num" w:pos="1440"/>
        </w:tabs>
        <w:ind w:left="1440" w:hanging="360"/>
      </w:pPr>
      <w:rPr>
        <w:rFonts w:ascii="Times New Roman" w:cs="Times New Roman" w:hint="default"/>
        <w:b w:val="0"/>
        <w:i w:val="0"/>
        <w:caps w:val="0"/>
        <w:color w:val="auto"/>
        <w:sz w:val="24"/>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num w:numId="1">
    <w:abstractNumId w:val="4"/>
  </w:num>
  <w:num w:numId="2">
    <w:abstractNumId w:val="5"/>
  </w:num>
  <w:num w:numId="3">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11"/>
  </w:num>
  <w:num w:numId="7">
    <w:abstractNumId w:val="0"/>
  </w:num>
  <w:num w:numId="8">
    <w:abstractNumId w:val="6"/>
  </w:num>
  <w:num w:numId="9">
    <w:abstractNumId w:val="17"/>
  </w:num>
  <w:num w:numId="10">
    <w:abstractNumId w:val="14"/>
  </w:num>
  <w:num w:numId="11">
    <w:abstractNumId w:val="16"/>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1"/>
  </w:num>
  <w:num w:numId="15">
    <w:abstractNumId w:val="2"/>
  </w:num>
  <w:num w:numId="16">
    <w:abstractNumId w:val="10"/>
  </w:num>
  <w:num w:numId="17">
    <w:abstractNumId w:val="12"/>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AE"/>
    <w:rsid w:val="00031858"/>
    <w:rsid w:val="00034841"/>
    <w:rsid w:val="000438B4"/>
    <w:rsid w:val="00045A68"/>
    <w:rsid w:val="0007726F"/>
    <w:rsid w:val="00095919"/>
    <w:rsid w:val="000B2CDB"/>
    <w:rsid w:val="000D748D"/>
    <w:rsid w:val="000F1833"/>
    <w:rsid w:val="000F67D7"/>
    <w:rsid w:val="000F70D0"/>
    <w:rsid w:val="0013094E"/>
    <w:rsid w:val="00150F4B"/>
    <w:rsid w:val="001650A0"/>
    <w:rsid w:val="001E1BA7"/>
    <w:rsid w:val="00230522"/>
    <w:rsid w:val="00236254"/>
    <w:rsid w:val="002401EA"/>
    <w:rsid w:val="00265046"/>
    <w:rsid w:val="00265B21"/>
    <w:rsid w:val="002A16C8"/>
    <w:rsid w:val="002A16EA"/>
    <w:rsid w:val="002B04DC"/>
    <w:rsid w:val="00333227"/>
    <w:rsid w:val="00352960"/>
    <w:rsid w:val="003566B8"/>
    <w:rsid w:val="0036100A"/>
    <w:rsid w:val="00365B41"/>
    <w:rsid w:val="003704B1"/>
    <w:rsid w:val="003751F8"/>
    <w:rsid w:val="003913CD"/>
    <w:rsid w:val="003A25FF"/>
    <w:rsid w:val="003C23AE"/>
    <w:rsid w:val="003C5942"/>
    <w:rsid w:val="003C7C2F"/>
    <w:rsid w:val="003E7ED8"/>
    <w:rsid w:val="004159FA"/>
    <w:rsid w:val="00423EA9"/>
    <w:rsid w:val="00435F98"/>
    <w:rsid w:val="00457280"/>
    <w:rsid w:val="00463352"/>
    <w:rsid w:val="004665C1"/>
    <w:rsid w:val="00470850"/>
    <w:rsid w:val="004F2F7D"/>
    <w:rsid w:val="00504372"/>
    <w:rsid w:val="0052070A"/>
    <w:rsid w:val="00530AAE"/>
    <w:rsid w:val="005731E7"/>
    <w:rsid w:val="00591790"/>
    <w:rsid w:val="005B2D31"/>
    <w:rsid w:val="005E413D"/>
    <w:rsid w:val="005F34A8"/>
    <w:rsid w:val="005F3669"/>
    <w:rsid w:val="00602797"/>
    <w:rsid w:val="00633A2A"/>
    <w:rsid w:val="0065044C"/>
    <w:rsid w:val="00650DBC"/>
    <w:rsid w:val="00653AB3"/>
    <w:rsid w:val="00692720"/>
    <w:rsid w:val="006A75CF"/>
    <w:rsid w:val="006B2089"/>
    <w:rsid w:val="006C32CE"/>
    <w:rsid w:val="007159BE"/>
    <w:rsid w:val="00740CA0"/>
    <w:rsid w:val="007429DA"/>
    <w:rsid w:val="007602D4"/>
    <w:rsid w:val="007663EA"/>
    <w:rsid w:val="007C1EB0"/>
    <w:rsid w:val="007C273A"/>
    <w:rsid w:val="007E42EA"/>
    <w:rsid w:val="008242E1"/>
    <w:rsid w:val="00827838"/>
    <w:rsid w:val="00843505"/>
    <w:rsid w:val="00861828"/>
    <w:rsid w:val="00862771"/>
    <w:rsid w:val="00862CFE"/>
    <w:rsid w:val="00870432"/>
    <w:rsid w:val="00891770"/>
    <w:rsid w:val="008A6207"/>
    <w:rsid w:val="008A622B"/>
    <w:rsid w:val="008B1F9B"/>
    <w:rsid w:val="008C0BF7"/>
    <w:rsid w:val="00951D1C"/>
    <w:rsid w:val="00953FB5"/>
    <w:rsid w:val="009762EE"/>
    <w:rsid w:val="00987411"/>
    <w:rsid w:val="00996EB4"/>
    <w:rsid w:val="009E6876"/>
    <w:rsid w:val="009F1689"/>
    <w:rsid w:val="009F3111"/>
    <w:rsid w:val="009F4566"/>
    <w:rsid w:val="00A634C2"/>
    <w:rsid w:val="00A75CE9"/>
    <w:rsid w:val="00B10585"/>
    <w:rsid w:val="00B251E8"/>
    <w:rsid w:val="00B26370"/>
    <w:rsid w:val="00B50EF6"/>
    <w:rsid w:val="00B639C2"/>
    <w:rsid w:val="00B7323D"/>
    <w:rsid w:val="00BD4296"/>
    <w:rsid w:val="00BE3BCE"/>
    <w:rsid w:val="00BF2263"/>
    <w:rsid w:val="00C46E59"/>
    <w:rsid w:val="00C7441A"/>
    <w:rsid w:val="00CC060A"/>
    <w:rsid w:val="00CD24E3"/>
    <w:rsid w:val="00CD5468"/>
    <w:rsid w:val="00CF6B31"/>
    <w:rsid w:val="00CF76B9"/>
    <w:rsid w:val="00D43724"/>
    <w:rsid w:val="00D75FAD"/>
    <w:rsid w:val="00DB1A24"/>
    <w:rsid w:val="00DD4AA3"/>
    <w:rsid w:val="00DD543E"/>
    <w:rsid w:val="00DF654A"/>
    <w:rsid w:val="00E05230"/>
    <w:rsid w:val="00E5668D"/>
    <w:rsid w:val="00E64E48"/>
    <w:rsid w:val="00EA6525"/>
    <w:rsid w:val="00EC167B"/>
    <w:rsid w:val="00EC5B67"/>
    <w:rsid w:val="00EC6274"/>
    <w:rsid w:val="00F071C4"/>
    <w:rsid w:val="00F15A9A"/>
    <w:rsid w:val="00F21254"/>
    <w:rsid w:val="00F23EE9"/>
    <w:rsid w:val="00F25D97"/>
    <w:rsid w:val="00F42842"/>
    <w:rsid w:val="00F4797D"/>
    <w:rsid w:val="00F540B3"/>
    <w:rsid w:val="00F66D70"/>
    <w:rsid w:val="00F864AA"/>
    <w:rsid w:val="00F87E8D"/>
    <w:rsid w:val="00FB718A"/>
    <w:rsid w:val="00FD5726"/>
    <w:rsid w:val="00FD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CB59792"/>
  <w15:docId w15:val="{1C2864BD-2904-4B67-B282-21A6E401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pPr>
      <w:keepNext/>
      <w:jc w:val="center"/>
      <w:outlineLvl w:val="7"/>
    </w:pPr>
    <w:rPr>
      <w:rFonts w:ascii="Times" w:hAnsi="Times" w:cs="Times"/>
      <w:i/>
      <w:iCs/>
      <w:color w:val="auto"/>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caps1">
    <w:name w:val="Smallcaps1"/>
    <w:basedOn w:val="Heading1"/>
    <w:next w:val="PlainText"/>
    <w:rPr>
      <w:rFonts w:ascii="Helvetica" w:hAnsi="Helvetica"/>
      <w:smallCaps/>
    </w:rPr>
  </w:style>
  <w:style w:type="paragraph" w:styleId="PlainText">
    <w:name w:val="Plain Text"/>
    <w:basedOn w:val="Normal"/>
    <w:rPr>
      <w:rFonts w:ascii="Courier New" w:hAnsi="Courier New" w:cs="Courier New"/>
      <w:sz w:val="20"/>
      <w:szCs w:val="20"/>
    </w:rPr>
  </w:style>
  <w:style w:type="paragraph" w:customStyle="1" w:styleId="SmallCapout1">
    <w:name w:val="SmallCapout1"/>
    <w:basedOn w:val="Normal"/>
    <w:next w:val="PlainText"/>
    <w:autoRedefine/>
    <w:pPr>
      <w:keepNext/>
      <w:numPr>
        <w:ilvl w:val="2"/>
        <w:numId w:val="1"/>
      </w:numPr>
      <w:spacing w:before="240" w:after="60"/>
      <w:outlineLvl w:val="2"/>
    </w:pPr>
    <w:rPr>
      <w:rFonts w:ascii="Helvetica" w:hAnsi="Helvetica" w:cs="Arial"/>
      <w:b/>
      <w:bCs/>
      <w:smallCaps/>
      <w:szCs w:val="26"/>
    </w:rPr>
  </w:style>
  <w:style w:type="paragraph" w:customStyle="1" w:styleId="Outlinesmcap1">
    <w:name w:val="Outlinesmcap1"/>
    <w:basedOn w:val="Normal"/>
    <w:autoRedefine/>
    <w:pPr>
      <w:numPr>
        <w:numId w:val="2"/>
      </w:numPr>
      <w:spacing w:before="480"/>
    </w:pPr>
    <w:rPr>
      <w:rFonts w:ascii="Helvetica-Narrow" w:hAnsi="Helvetica-Narrow"/>
      <w:b/>
      <w:bCs/>
      <w:smallCaps/>
    </w:rPr>
  </w:style>
  <w:style w:type="paragraph" w:customStyle="1" w:styleId="Outline3dash">
    <w:name w:val="Outline3dash"/>
    <w:basedOn w:val="NormalIndent"/>
    <w:autoRedefine/>
    <w:pPr>
      <w:numPr>
        <w:ilvl w:val="2"/>
        <w:numId w:val="3"/>
      </w:numPr>
    </w:pPr>
  </w:style>
  <w:style w:type="paragraph" w:styleId="NormalIndent">
    <w:name w:val="Normal Indent"/>
    <w:basedOn w:val="Normal"/>
    <w:pPr>
      <w:ind w:left="720"/>
    </w:pPr>
  </w:style>
  <w:style w:type="paragraph" w:customStyle="1" w:styleId="Smallcaps2">
    <w:name w:val="Smallcaps2"/>
    <w:basedOn w:val="Heading3"/>
    <w:next w:val="Normal"/>
    <w:autoRedefine/>
    <w:pPr>
      <w:outlineLvl w:val="9"/>
    </w:pPr>
    <w:rPr>
      <w:rFonts w:ascii="Helvetica" w:hAnsi="Helvetica"/>
      <w:smallCaps/>
      <w:sz w:val="24"/>
    </w:rPr>
  </w:style>
  <w:style w:type="paragraph" w:customStyle="1" w:styleId="Style1">
    <w:name w:val="Style1"/>
    <w:basedOn w:val="Normal"/>
    <w:next w:val="NormalIndent"/>
    <w:autoRedefine/>
    <w:pPr>
      <w:numPr>
        <w:numId w:val="4"/>
      </w:numPr>
      <w:spacing w:before="240" w:after="60"/>
    </w:pPr>
    <w:rPr>
      <w:rFonts w:ascii="Helvetica" w:hAnsi="Helvetica"/>
      <w:b/>
      <w:smallCaps/>
    </w:rPr>
  </w:style>
  <w:style w:type="paragraph" w:customStyle="1" w:styleId="ARoutline1">
    <w:name w:val="ARoutline1"/>
    <w:basedOn w:val="Normal"/>
    <w:next w:val="NormalIndent"/>
    <w:pPr>
      <w:numPr>
        <w:numId w:val="5"/>
      </w:numPr>
      <w:spacing w:before="240" w:after="60"/>
    </w:pPr>
    <w:rPr>
      <w:rFonts w:ascii="Helvetica" w:hAnsi="Helvetica"/>
      <w:b/>
      <w:smallCaps/>
    </w:rPr>
  </w:style>
  <w:style w:type="paragraph" w:styleId="EnvelopeAddress">
    <w:name w:val="envelope address"/>
    <w:basedOn w:val="Normal"/>
    <w:rsid w:val="00E64E48"/>
    <w:pPr>
      <w:framePr w:w="7920" w:h="1980" w:hRule="exact" w:hSpace="180" w:wrap="auto" w:hAnchor="page" w:xAlign="center" w:yAlign="bottom"/>
      <w:ind w:left="2880"/>
    </w:pPr>
    <w:rPr>
      <w:rFonts w:ascii="Arial Narrow" w:hAnsi="Arial Narrow" w:cs="Arial"/>
      <w:caps/>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character" w:styleId="PageNumber">
    <w:name w:val="page number"/>
    <w:basedOn w:val="DefaultParagraphFont"/>
  </w:style>
  <w:style w:type="character" w:styleId="Hyperlink">
    <w:name w:val="Hyperlink"/>
    <w:rsid w:val="00633A2A"/>
    <w:rPr>
      <w:color w:val="0000FF"/>
      <w:u w:val="single"/>
    </w:rPr>
  </w:style>
  <w:style w:type="character" w:customStyle="1" w:styleId="Heading8Char">
    <w:name w:val="Heading 8 Char"/>
    <w:basedOn w:val="DefaultParagraphFont"/>
    <w:link w:val="Heading8"/>
    <w:rsid w:val="00EC167B"/>
    <w:rPr>
      <w:rFonts w:ascii="Times" w:hAnsi="Times" w:cs="Times"/>
      <w:i/>
      <w:iCs/>
      <w:kern w:val="18"/>
    </w:rPr>
  </w:style>
  <w:style w:type="character" w:customStyle="1" w:styleId="HeaderChar">
    <w:name w:val="Header Char"/>
    <w:basedOn w:val="DefaultParagraphFont"/>
    <w:link w:val="Header"/>
    <w:rsid w:val="00236254"/>
    <w:rPr>
      <w:color w:val="000000"/>
      <w:sz w:val="24"/>
      <w:szCs w:val="24"/>
    </w:rPr>
  </w:style>
  <w:style w:type="paragraph" w:styleId="NormalWeb">
    <w:name w:val="Normal (Web)"/>
    <w:basedOn w:val="Normal"/>
    <w:uiPriority w:val="99"/>
    <w:semiHidden/>
    <w:unhideWhenUsed/>
    <w:rsid w:val="00435F98"/>
    <w:pPr>
      <w:spacing w:before="100" w:beforeAutospacing="1" w:after="100" w:afterAutospacing="1"/>
    </w:pPr>
    <w:rPr>
      <w:color w:val="auto"/>
    </w:rPr>
  </w:style>
  <w:style w:type="character" w:customStyle="1" w:styleId="apple-tab-span">
    <w:name w:val="apple-tab-span"/>
    <w:basedOn w:val="DefaultParagraphFont"/>
    <w:rsid w:val="00435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29921">
      <w:bodyDiv w:val="1"/>
      <w:marLeft w:val="0"/>
      <w:marRight w:val="0"/>
      <w:marTop w:val="0"/>
      <w:marBottom w:val="0"/>
      <w:divBdr>
        <w:top w:val="none" w:sz="0" w:space="0" w:color="auto"/>
        <w:left w:val="none" w:sz="0" w:space="0" w:color="auto"/>
        <w:bottom w:val="none" w:sz="0" w:space="0" w:color="auto"/>
        <w:right w:val="none" w:sz="0" w:space="0" w:color="auto"/>
      </w:divBdr>
    </w:div>
    <w:div w:id="939139323">
      <w:bodyDiv w:val="1"/>
      <w:marLeft w:val="0"/>
      <w:marRight w:val="0"/>
      <w:marTop w:val="0"/>
      <w:marBottom w:val="0"/>
      <w:divBdr>
        <w:top w:val="none" w:sz="0" w:space="0" w:color="auto"/>
        <w:left w:val="none" w:sz="0" w:space="0" w:color="auto"/>
        <w:bottom w:val="none" w:sz="0" w:space="0" w:color="auto"/>
        <w:right w:val="none" w:sz="0" w:space="0" w:color="auto"/>
      </w:divBdr>
    </w:div>
    <w:div w:id="173546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uments.deq.utah.gov/water-quality/standards-technical-services/DWQ-2021-017555.pdf"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eq.utah.gov/water-quality/2022-integrated-report" TargetMode="Externa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documents.deq.utah.gov/water-quality/standards-technical-services/DWQ-2021-017555.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uments.deq.utah.gov/water-quality/standards-technical-services/DWQ-2018-013091.pdf" TargetMode="Externa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Utah Environmental Quality</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Johnson</dc:creator>
  <cp:lastModifiedBy>Jacob Vanderlaan</cp:lastModifiedBy>
  <cp:revision>9</cp:revision>
  <cp:lastPrinted>2008-11-13T17:47:00Z</cp:lastPrinted>
  <dcterms:created xsi:type="dcterms:W3CDTF">2021-01-05T20:05:00Z</dcterms:created>
  <dcterms:modified xsi:type="dcterms:W3CDTF">2022-04-07T14:44:00Z</dcterms:modified>
</cp:coreProperties>
</file>